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B8B587" w14:textId="095F6B4E" w:rsidR="00E705F9" w:rsidRDefault="00E705F9" w:rsidP="00E705F9">
      <w:pPr>
        <w:spacing w:line="240" w:lineRule="auto"/>
        <w:rPr>
          <w:rFonts w:asciiTheme="majorHAnsi" w:eastAsiaTheme="majorEastAsia" w:hAnsiTheme="majorHAnsi" w:cstheme="majorBidi"/>
          <w:color w:val="2F5496" w:themeColor="accent1" w:themeShade="BF"/>
          <w:sz w:val="28"/>
          <w:szCs w:val="28"/>
        </w:rPr>
      </w:pPr>
      <w:r>
        <w:rPr>
          <w:rFonts w:asciiTheme="majorHAnsi" w:eastAsiaTheme="majorEastAsia" w:hAnsiTheme="majorHAnsi" w:cstheme="majorBidi"/>
          <w:color w:val="2F5496" w:themeColor="accent1" w:themeShade="BF"/>
          <w:sz w:val="28"/>
          <w:szCs w:val="28"/>
        </w:rPr>
        <w:t xml:space="preserve">Educação financeira: </w:t>
      </w:r>
      <w:r w:rsidR="005437CB">
        <w:rPr>
          <w:rFonts w:asciiTheme="majorHAnsi" w:eastAsiaTheme="majorEastAsia" w:hAnsiTheme="majorHAnsi" w:cstheme="majorBidi"/>
          <w:color w:val="2F5496" w:themeColor="accent1" w:themeShade="BF"/>
          <w:sz w:val="28"/>
          <w:szCs w:val="28"/>
        </w:rPr>
        <w:t xml:space="preserve">títulos de capitalização valem a pena? </w:t>
      </w:r>
    </w:p>
    <w:p w14:paraId="14379AB2" w14:textId="77777777" w:rsidR="005437CB" w:rsidRPr="005437CB" w:rsidRDefault="005437CB" w:rsidP="005437CB">
      <w:pPr>
        <w:spacing w:after="0"/>
        <w:rPr>
          <w:rFonts w:asciiTheme="minorHAnsi" w:hAnsiTheme="minorHAnsi" w:cstheme="minorHAnsi"/>
          <w:b/>
          <w:i/>
        </w:rPr>
      </w:pPr>
      <w:r w:rsidRPr="005437CB">
        <w:rPr>
          <w:rFonts w:asciiTheme="minorHAnsi" w:hAnsiTheme="minorHAnsi" w:cstheme="minorHAnsi"/>
          <w:b/>
          <w:i/>
        </w:rPr>
        <w:t>Entenda a dinâmica desse produto financeiro e se vale a pena ou não para você</w:t>
      </w:r>
    </w:p>
    <w:p w14:paraId="0853A19E" w14:textId="41CB71A1" w:rsidR="00E4535C" w:rsidRDefault="00A64B64" w:rsidP="005437CB">
      <w:pPr>
        <w:spacing w:after="0"/>
        <w:rPr>
          <w:rFonts w:asciiTheme="minorHAnsi" w:eastAsiaTheme="minorHAnsi" w:hAnsiTheme="minorHAnsi" w:cstheme="minorBidi"/>
          <w:b/>
          <w:i/>
          <w:lang w:eastAsia="en-US"/>
        </w:rPr>
      </w:pPr>
      <w:r w:rsidRPr="00E53599">
        <w:rPr>
          <w:rFonts w:asciiTheme="minorHAnsi" w:eastAsiaTheme="minorHAnsi" w:hAnsiTheme="minorHAnsi" w:cstheme="minorBidi"/>
          <w:b/>
          <w:i/>
          <w:lang w:eastAsia="en-US"/>
        </w:rPr>
        <w:t>*Carlos Heitor Campani, Ph.D.</w:t>
      </w:r>
    </w:p>
    <w:p w14:paraId="34D3089A" w14:textId="77777777" w:rsidR="005437CB" w:rsidRPr="005437CB" w:rsidRDefault="005437CB" w:rsidP="005437CB">
      <w:pPr>
        <w:spacing w:after="0"/>
        <w:rPr>
          <w:rFonts w:asciiTheme="minorHAnsi" w:eastAsiaTheme="minorHAnsi" w:hAnsiTheme="minorHAnsi" w:cstheme="minorBidi"/>
          <w:b/>
          <w:i/>
          <w:lang w:eastAsia="en-US"/>
        </w:rPr>
      </w:pPr>
    </w:p>
    <w:p w14:paraId="57F1CDAA" w14:textId="78505D99" w:rsidR="005437CB" w:rsidRPr="005437CB" w:rsidRDefault="005437CB" w:rsidP="005437CB">
      <w:pPr>
        <w:spacing w:after="0"/>
        <w:rPr>
          <w:rFonts w:asciiTheme="minorHAnsi" w:hAnsiTheme="minorHAnsi" w:cstheme="minorHAnsi"/>
          <w:color w:val="000000" w:themeColor="text1"/>
        </w:rPr>
      </w:pPr>
      <w:r w:rsidRPr="005437CB">
        <w:rPr>
          <w:rFonts w:asciiTheme="minorHAnsi" w:hAnsiTheme="minorHAnsi" w:cstheme="minorHAnsi"/>
          <w:color w:val="000000" w:themeColor="text1"/>
        </w:rPr>
        <w:t>No artigo anterior, escrevi sobre consórcios de automóveis e imóveis para pessoas físicas, procurando uma abordagem bastante clara, objetiva e sem vieses. Recebi muitos feedbacks legais e várias pessoas me perguntaram o que eu achava de títulos de capitalização (</w:t>
      </w:r>
      <w:proofErr w:type="spellStart"/>
      <w:r w:rsidRPr="005437CB">
        <w:rPr>
          <w:rFonts w:asciiTheme="minorHAnsi" w:hAnsiTheme="minorHAnsi" w:cstheme="minorHAnsi"/>
          <w:color w:val="000000" w:themeColor="text1"/>
        </w:rPr>
        <w:t>TCs</w:t>
      </w:r>
      <w:proofErr w:type="spellEnd"/>
      <w:r w:rsidRPr="005437CB">
        <w:rPr>
          <w:rFonts w:asciiTheme="minorHAnsi" w:hAnsiTheme="minorHAnsi" w:cstheme="minorHAnsi"/>
          <w:color w:val="000000" w:themeColor="text1"/>
        </w:rPr>
        <w:t xml:space="preserve">). Resolvi escrever algo na mesma linha para este produto financeiro. Se você não leu o </w:t>
      </w:r>
      <w:r>
        <w:rPr>
          <w:rFonts w:asciiTheme="minorHAnsi" w:hAnsiTheme="minorHAnsi" w:cstheme="minorHAnsi"/>
          <w:color w:val="000000" w:themeColor="text1"/>
        </w:rPr>
        <w:t>artigo anterior</w:t>
      </w:r>
      <w:r w:rsidRPr="005437CB">
        <w:rPr>
          <w:rFonts w:asciiTheme="minorHAnsi" w:hAnsiTheme="minorHAnsi" w:cstheme="minorHAnsi"/>
          <w:color w:val="000000" w:themeColor="text1"/>
        </w:rPr>
        <w:t xml:space="preserve"> sobre consórcios, sugiro a leitura. E se quiser entrar em contato, aprender muito mais e tirar dúvidas, siga-me nas redes sociais: @carlosheitorcampani.</w:t>
      </w:r>
    </w:p>
    <w:p w14:paraId="726BE732" w14:textId="77777777" w:rsidR="005437CB" w:rsidRPr="005437CB" w:rsidRDefault="005437CB" w:rsidP="005437CB">
      <w:pPr>
        <w:spacing w:after="0"/>
        <w:rPr>
          <w:rFonts w:asciiTheme="minorHAnsi" w:hAnsiTheme="minorHAnsi" w:cstheme="minorHAnsi"/>
          <w:color w:val="000000" w:themeColor="text1"/>
        </w:rPr>
      </w:pPr>
    </w:p>
    <w:p w14:paraId="30914D58" w14:textId="77777777" w:rsidR="005437CB" w:rsidRPr="005437CB" w:rsidRDefault="005437CB" w:rsidP="005437CB">
      <w:pPr>
        <w:spacing w:after="0"/>
        <w:rPr>
          <w:rFonts w:asciiTheme="minorHAnsi" w:hAnsiTheme="minorHAnsi" w:cstheme="minorHAnsi"/>
          <w:color w:val="000000" w:themeColor="text1"/>
        </w:rPr>
      </w:pPr>
      <w:r w:rsidRPr="005437CB">
        <w:rPr>
          <w:rFonts w:asciiTheme="minorHAnsi" w:hAnsiTheme="minorHAnsi" w:cstheme="minorHAnsi"/>
          <w:color w:val="000000" w:themeColor="text1"/>
        </w:rPr>
        <w:t xml:space="preserve">O título acima traz uma pergunta que, para muitos, parece ter resposta fácil. Afinal, é muito provável que dez em cada dez blogueiros e youtubers apontem o “investimento” em </w:t>
      </w:r>
      <w:proofErr w:type="spellStart"/>
      <w:r w:rsidRPr="005437CB">
        <w:rPr>
          <w:rFonts w:asciiTheme="minorHAnsi" w:hAnsiTheme="minorHAnsi" w:cstheme="minorHAnsi"/>
          <w:color w:val="000000" w:themeColor="text1"/>
        </w:rPr>
        <w:t>TCs</w:t>
      </w:r>
      <w:proofErr w:type="spellEnd"/>
      <w:r w:rsidRPr="005437CB">
        <w:rPr>
          <w:rFonts w:asciiTheme="minorHAnsi" w:hAnsiTheme="minorHAnsi" w:cstheme="minorHAnsi"/>
          <w:color w:val="000000" w:themeColor="text1"/>
        </w:rPr>
        <w:t xml:space="preserve"> como o pior possível. Mas, há algo além desse horizonte e você entenderá adiante por que escrevi investimento entre aspas. A demonização recente que muitos “especialistas” fizeram dos </w:t>
      </w:r>
      <w:proofErr w:type="spellStart"/>
      <w:r w:rsidRPr="005437CB">
        <w:rPr>
          <w:rFonts w:asciiTheme="minorHAnsi" w:hAnsiTheme="minorHAnsi" w:cstheme="minorHAnsi"/>
          <w:color w:val="000000" w:themeColor="text1"/>
        </w:rPr>
        <w:t>TCs</w:t>
      </w:r>
      <w:proofErr w:type="spellEnd"/>
      <w:r w:rsidRPr="005437CB">
        <w:rPr>
          <w:rFonts w:asciiTheme="minorHAnsi" w:hAnsiTheme="minorHAnsi" w:cstheme="minorHAnsi"/>
          <w:color w:val="000000" w:themeColor="text1"/>
        </w:rPr>
        <w:t xml:space="preserve"> pode transmitir uma mensagem equivocada de que ninguém deve comprar </w:t>
      </w:r>
      <w:proofErr w:type="spellStart"/>
      <w:r w:rsidRPr="005437CB">
        <w:rPr>
          <w:rFonts w:asciiTheme="minorHAnsi" w:hAnsiTheme="minorHAnsi" w:cstheme="minorHAnsi"/>
          <w:color w:val="000000" w:themeColor="text1"/>
        </w:rPr>
        <w:t>TCs</w:t>
      </w:r>
      <w:proofErr w:type="spellEnd"/>
      <w:r w:rsidRPr="005437CB">
        <w:rPr>
          <w:rFonts w:asciiTheme="minorHAnsi" w:hAnsiTheme="minorHAnsi" w:cstheme="minorHAnsi"/>
          <w:color w:val="000000" w:themeColor="text1"/>
        </w:rPr>
        <w:t xml:space="preserve"> ou, o que é pior, que quem compra </w:t>
      </w:r>
      <w:proofErr w:type="spellStart"/>
      <w:r w:rsidRPr="005437CB">
        <w:rPr>
          <w:rFonts w:asciiTheme="minorHAnsi" w:hAnsiTheme="minorHAnsi" w:cstheme="minorHAnsi"/>
          <w:color w:val="000000" w:themeColor="text1"/>
        </w:rPr>
        <w:t>TCs</w:t>
      </w:r>
      <w:proofErr w:type="spellEnd"/>
      <w:r w:rsidRPr="005437CB">
        <w:rPr>
          <w:rFonts w:asciiTheme="minorHAnsi" w:hAnsiTheme="minorHAnsi" w:cstheme="minorHAnsi"/>
          <w:color w:val="000000" w:themeColor="text1"/>
        </w:rPr>
        <w:t xml:space="preserve"> é “bobo e foi enganado por seu gerente”. Não pode ser tão simples assim! Vamos entender o que se passa, com razoabilidade.</w:t>
      </w:r>
    </w:p>
    <w:p w14:paraId="5150FD43" w14:textId="77777777" w:rsidR="005437CB" w:rsidRPr="005437CB" w:rsidRDefault="005437CB" w:rsidP="005437CB">
      <w:pPr>
        <w:spacing w:after="0"/>
        <w:rPr>
          <w:rFonts w:asciiTheme="minorHAnsi" w:hAnsiTheme="minorHAnsi" w:cstheme="minorHAnsi"/>
          <w:color w:val="000000" w:themeColor="text1"/>
        </w:rPr>
      </w:pPr>
    </w:p>
    <w:p w14:paraId="2B10DA71" w14:textId="77777777" w:rsidR="005437CB" w:rsidRPr="005437CB" w:rsidRDefault="005437CB" w:rsidP="005437CB">
      <w:pPr>
        <w:spacing w:after="0"/>
        <w:rPr>
          <w:rFonts w:asciiTheme="minorHAnsi" w:hAnsiTheme="minorHAnsi" w:cstheme="minorHAnsi"/>
          <w:color w:val="000000" w:themeColor="text1"/>
        </w:rPr>
      </w:pPr>
      <w:r w:rsidRPr="005437CB">
        <w:rPr>
          <w:rFonts w:asciiTheme="minorHAnsi" w:hAnsiTheme="minorHAnsi" w:cstheme="minorHAnsi"/>
          <w:color w:val="000000" w:themeColor="text1"/>
        </w:rPr>
        <w:t>A ideia por detrás de um TC é bastante simples e darei um exemplo didático que ilustra o conceito. Imagine que haja um investimento de baixíssimo risco no mercado a 10% por ano. Os irmãos João e José decidem fazer um acordo com uma instituição financeira. Eles investirão R$ 100,00 cada um por um ano. Ao final do ano, um deles será sorteado e receberá R$ 115,00. Já o perdedor no sorteio receberá R$ 101,00, ou seja, o seu dinheiro de volta com uma pequena correção monetária.</w:t>
      </w:r>
    </w:p>
    <w:p w14:paraId="4098F87E" w14:textId="77777777" w:rsidR="005437CB" w:rsidRPr="005437CB" w:rsidRDefault="005437CB" w:rsidP="005437CB">
      <w:pPr>
        <w:spacing w:after="0"/>
        <w:rPr>
          <w:rFonts w:asciiTheme="minorHAnsi" w:hAnsiTheme="minorHAnsi" w:cstheme="minorHAnsi"/>
          <w:color w:val="000000" w:themeColor="text1"/>
        </w:rPr>
      </w:pPr>
    </w:p>
    <w:p w14:paraId="4781D2A3" w14:textId="77777777" w:rsidR="005437CB" w:rsidRPr="005437CB" w:rsidRDefault="005437CB" w:rsidP="005437CB">
      <w:pPr>
        <w:spacing w:after="0"/>
        <w:rPr>
          <w:rFonts w:asciiTheme="minorHAnsi" w:hAnsiTheme="minorHAnsi" w:cstheme="minorHAnsi"/>
          <w:color w:val="000000" w:themeColor="text1"/>
        </w:rPr>
      </w:pPr>
      <w:r w:rsidRPr="005437CB">
        <w:rPr>
          <w:rFonts w:asciiTheme="minorHAnsi" w:hAnsiTheme="minorHAnsi" w:cstheme="minorHAnsi"/>
          <w:color w:val="000000" w:themeColor="text1"/>
        </w:rPr>
        <w:t xml:space="preserve">Para o irmão vencedor no sorteio será um </w:t>
      </w:r>
      <w:proofErr w:type="gramStart"/>
      <w:r w:rsidRPr="005437CB">
        <w:rPr>
          <w:rFonts w:asciiTheme="minorHAnsi" w:hAnsiTheme="minorHAnsi" w:cstheme="minorHAnsi"/>
          <w:color w:val="000000" w:themeColor="text1"/>
        </w:rPr>
        <w:t>baita</w:t>
      </w:r>
      <w:proofErr w:type="gramEnd"/>
      <w:r w:rsidRPr="005437CB">
        <w:rPr>
          <w:rFonts w:asciiTheme="minorHAnsi" w:hAnsiTheme="minorHAnsi" w:cstheme="minorHAnsi"/>
          <w:color w:val="000000" w:themeColor="text1"/>
        </w:rPr>
        <w:t xml:space="preserve"> negócio, pois ele conseguirá uma remuneração de 15%, bastante acima do que ele conseguiria no mercado. Já para o outro irmão, o acordo acaba saindo ruim, pois ele recebe uma remuneração de apenas 1%, portanto </w:t>
      </w:r>
      <w:r w:rsidRPr="005437CB">
        <w:rPr>
          <w:rFonts w:asciiTheme="minorHAnsi" w:hAnsiTheme="minorHAnsi" w:cstheme="minorHAnsi"/>
          <w:color w:val="000000" w:themeColor="text1"/>
        </w:rPr>
        <w:lastRenderedPageBreak/>
        <w:t xml:space="preserve">muito abaixo do que teria obtido no mercado. Note que a instituição financeira investe cada R$ 100,00 dos irmãos e obtém, ao final de um ano, um retorno de 10%, perfazendo a quantia total de R$ 220,00. Ao pagar os R$ 115 para o irmão vencedor e os R$ 101,00 para o irmão perdedor, fica com R$ 4,00 de resultado positivo. </w:t>
      </w:r>
    </w:p>
    <w:p w14:paraId="5A7AA163" w14:textId="77777777" w:rsidR="005437CB" w:rsidRPr="005437CB" w:rsidRDefault="005437CB" w:rsidP="005437CB">
      <w:pPr>
        <w:spacing w:after="0"/>
        <w:rPr>
          <w:rFonts w:asciiTheme="minorHAnsi" w:hAnsiTheme="minorHAnsi" w:cstheme="minorHAnsi"/>
          <w:color w:val="000000" w:themeColor="text1"/>
        </w:rPr>
      </w:pPr>
    </w:p>
    <w:p w14:paraId="2D8E3B91" w14:textId="77777777" w:rsidR="005437CB" w:rsidRPr="005437CB" w:rsidRDefault="005437CB" w:rsidP="005437CB">
      <w:pPr>
        <w:spacing w:after="0"/>
        <w:rPr>
          <w:rFonts w:asciiTheme="minorHAnsi" w:hAnsiTheme="minorHAnsi" w:cstheme="minorHAnsi"/>
          <w:color w:val="000000" w:themeColor="text1"/>
        </w:rPr>
      </w:pPr>
      <w:r w:rsidRPr="005437CB">
        <w:rPr>
          <w:rFonts w:asciiTheme="minorHAnsi" w:hAnsiTheme="minorHAnsi" w:cstheme="minorHAnsi"/>
          <w:color w:val="000000" w:themeColor="text1"/>
        </w:rPr>
        <w:t xml:space="preserve">O que acabei de explicar acima, de maneira simples, é o que está por detrás do conceito dos </w:t>
      </w:r>
      <w:proofErr w:type="spellStart"/>
      <w:r w:rsidRPr="005437CB">
        <w:rPr>
          <w:rFonts w:asciiTheme="minorHAnsi" w:hAnsiTheme="minorHAnsi" w:cstheme="minorHAnsi"/>
          <w:color w:val="000000" w:themeColor="text1"/>
        </w:rPr>
        <w:t>TCs</w:t>
      </w:r>
      <w:proofErr w:type="spellEnd"/>
      <w:r w:rsidRPr="005437CB">
        <w:rPr>
          <w:rFonts w:asciiTheme="minorHAnsi" w:hAnsiTheme="minorHAnsi" w:cstheme="minorHAnsi"/>
          <w:color w:val="000000" w:themeColor="text1"/>
        </w:rPr>
        <w:t>. Em média, os irmãos sairão com uma rentabilidade de 8% (média entre 15% e 1%), o que está abaixo da rentabilidade que poderiam obter no mercado (10%). Esta diferença é precisamente o que remunera a instituição financeira, que, claro, tem seus custos com a gestão do produto.</w:t>
      </w:r>
    </w:p>
    <w:p w14:paraId="448FF308" w14:textId="77777777" w:rsidR="005437CB" w:rsidRPr="005437CB" w:rsidRDefault="005437CB" w:rsidP="005437CB">
      <w:pPr>
        <w:spacing w:after="0"/>
        <w:rPr>
          <w:rFonts w:asciiTheme="minorHAnsi" w:hAnsiTheme="minorHAnsi" w:cstheme="minorHAnsi"/>
          <w:color w:val="000000" w:themeColor="text1"/>
        </w:rPr>
      </w:pPr>
    </w:p>
    <w:p w14:paraId="616B4D13" w14:textId="77777777" w:rsidR="005437CB" w:rsidRPr="005437CB" w:rsidRDefault="005437CB" w:rsidP="005437CB">
      <w:pPr>
        <w:spacing w:after="0"/>
        <w:rPr>
          <w:rFonts w:asciiTheme="minorHAnsi" w:hAnsiTheme="minorHAnsi" w:cstheme="minorHAnsi"/>
          <w:b/>
          <w:bCs/>
          <w:color w:val="000000" w:themeColor="text1"/>
        </w:rPr>
      </w:pPr>
      <w:r w:rsidRPr="005437CB">
        <w:rPr>
          <w:rFonts w:asciiTheme="minorHAnsi" w:hAnsiTheme="minorHAnsi" w:cstheme="minorHAnsi"/>
          <w:b/>
          <w:bCs/>
          <w:color w:val="000000" w:themeColor="text1"/>
          <w:u w:val="single"/>
        </w:rPr>
        <w:t>O MERCADO DE TCS: TRADICIONAL E COM MILHÕES DE BRASILEIROS</w:t>
      </w:r>
    </w:p>
    <w:p w14:paraId="6C78C391" w14:textId="77777777" w:rsidR="005437CB" w:rsidRPr="005437CB" w:rsidRDefault="005437CB" w:rsidP="005437CB">
      <w:pPr>
        <w:spacing w:after="0"/>
        <w:rPr>
          <w:rFonts w:asciiTheme="minorHAnsi" w:hAnsiTheme="minorHAnsi" w:cstheme="minorHAnsi"/>
          <w:color w:val="000000" w:themeColor="text1"/>
        </w:rPr>
      </w:pPr>
    </w:p>
    <w:p w14:paraId="6FF38091" w14:textId="77777777" w:rsidR="005437CB" w:rsidRPr="005437CB" w:rsidRDefault="005437CB" w:rsidP="005437CB">
      <w:pPr>
        <w:spacing w:after="0"/>
        <w:rPr>
          <w:rFonts w:asciiTheme="minorHAnsi" w:hAnsiTheme="minorHAnsi" w:cstheme="minorHAnsi"/>
          <w:color w:val="000000" w:themeColor="text1"/>
        </w:rPr>
      </w:pPr>
      <w:r w:rsidRPr="005437CB">
        <w:rPr>
          <w:rFonts w:asciiTheme="minorHAnsi" w:hAnsiTheme="minorHAnsi" w:cstheme="minorHAnsi"/>
          <w:color w:val="000000" w:themeColor="text1"/>
        </w:rPr>
        <w:t xml:space="preserve">O mercado brasileiro de </w:t>
      </w:r>
      <w:proofErr w:type="spellStart"/>
      <w:r w:rsidRPr="005437CB">
        <w:rPr>
          <w:rFonts w:asciiTheme="minorHAnsi" w:hAnsiTheme="minorHAnsi" w:cstheme="minorHAnsi"/>
          <w:color w:val="000000" w:themeColor="text1"/>
        </w:rPr>
        <w:t>TCs</w:t>
      </w:r>
      <w:proofErr w:type="spellEnd"/>
      <w:r w:rsidRPr="005437CB">
        <w:rPr>
          <w:rFonts w:asciiTheme="minorHAnsi" w:hAnsiTheme="minorHAnsi" w:cstheme="minorHAnsi"/>
          <w:color w:val="000000" w:themeColor="text1"/>
        </w:rPr>
        <w:t xml:space="preserve"> é antigo, remontando ao ano de 1929, e no ano passado movimentou R$ 24 bilhões, tendo crescido cerca de 14% em relação a 2018 (e seguramente abarcou milhões de brasileiros). Tal evidência é significativa. Um TC é um instrumento de poupança no qual o cliente assume o compromisso de poupar mensalmente determinada quantia monetária. Ao final de um prazo estabelecido, todo o montante poupado é devolvido à pessoa e tipicamente tal valor é corrigido pela TR (taxa de referência). </w:t>
      </w:r>
    </w:p>
    <w:p w14:paraId="6B983448" w14:textId="77777777" w:rsidR="005437CB" w:rsidRPr="005437CB" w:rsidRDefault="005437CB" w:rsidP="005437CB">
      <w:pPr>
        <w:spacing w:after="0"/>
        <w:rPr>
          <w:rFonts w:asciiTheme="minorHAnsi" w:hAnsiTheme="minorHAnsi" w:cstheme="minorHAnsi"/>
          <w:color w:val="000000" w:themeColor="text1"/>
        </w:rPr>
      </w:pPr>
    </w:p>
    <w:p w14:paraId="491AA6DE" w14:textId="77777777" w:rsidR="005437CB" w:rsidRPr="005437CB" w:rsidRDefault="005437CB" w:rsidP="005437CB">
      <w:pPr>
        <w:spacing w:after="0"/>
        <w:rPr>
          <w:rFonts w:asciiTheme="minorHAnsi" w:hAnsiTheme="minorHAnsi" w:cstheme="minorHAnsi"/>
          <w:color w:val="000000" w:themeColor="text1"/>
        </w:rPr>
      </w:pPr>
      <w:r w:rsidRPr="005437CB">
        <w:rPr>
          <w:rFonts w:asciiTheme="minorHAnsi" w:hAnsiTheme="minorHAnsi" w:cstheme="minorHAnsi"/>
          <w:color w:val="000000" w:themeColor="text1"/>
        </w:rPr>
        <w:t xml:space="preserve">O ponto é que a TR está longe de ser um bom índice inflacionário, tanto que está zerada desde setembro de 2017 e permanecerá zerada por muito tempo, dada a perspectiva de juros baixos em nossa economia. Isto equivale a dizer que o montante total poupado num TC retornará ao cliente sem absolutamente nenhum retorno financeiro (o que é definitivamente ruim se comparado a um fundo de investimento de renda fixa com baixíssimo risco ou mesmo se comparado à poupança). Por outro lado, o ingrediente fundamental de </w:t>
      </w:r>
      <w:proofErr w:type="spellStart"/>
      <w:r w:rsidRPr="005437CB">
        <w:rPr>
          <w:rFonts w:asciiTheme="minorHAnsi" w:hAnsiTheme="minorHAnsi" w:cstheme="minorHAnsi"/>
          <w:color w:val="000000" w:themeColor="text1"/>
        </w:rPr>
        <w:t>TCs</w:t>
      </w:r>
      <w:proofErr w:type="spellEnd"/>
      <w:r w:rsidRPr="005437CB">
        <w:rPr>
          <w:rFonts w:asciiTheme="minorHAnsi" w:hAnsiTheme="minorHAnsi" w:cstheme="minorHAnsi"/>
          <w:color w:val="000000" w:themeColor="text1"/>
        </w:rPr>
        <w:t xml:space="preserve"> é que estes contam com diversos sorteios ao longo do prazo do título, sorteios esses que geram montantes vultosos quando comparados ao total poupado pelos ganhadores em seus </w:t>
      </w:r>
      <w:proofErr w:type="spellStart"/>
      <w:r w:rsidRPr="005437CB">
        <w:rPr>
          <w:rFonts w:asciiTheme="minorHAnsi" w:hAnsiTheme="minorHAnsi" w:cstheme="minorHAnsi"/>
          <w:color w:val="000000" w:themeColor="text1"/>
        </w:rPr>
        <w:t>TCs</w:t>
      </w:r>
      <w:proofErr w:type="spellEnd"/>
      <w:r w:rsidRPr="005437CB">
        <w:rPr>
          <w:rFonts w:asciiTheme="minorHAnsi" w:hAnsiTheme="minorHAnsi" w:cstheme="minorHAnsi"/>
          <w:color w:val="000000" w:themeColor="text1"/>
        </w:rPr>
        <w:t>. Tal como no nosso exemplo.</w:t>
      </w:r>
    </w:p>
    <w:p w14:paraId="1E805E1B" w14:textId="77777777" w:rsidR="005437CB" w:rsidRPr="005437CB" w:rsidRDefault="005437CB" w:rsidP="005437CB">
      <w:pPr>
        <w:spacing w:after="0"/>
        <w:rPr>
          <w:rFonts w:asciiTheme="minorHAnsi" w:hAnsiTheme="minorHAnsi" w:cstheme="minorHAnsi"/>
          <w:color w:val="000000" w:themeColor="text1"/>
        </w:rPr>
      </w:pPr>
    </w:p>
    <w:p w14:paraId="3DA6E1EA" w14:textId="77777777" w:rsidR="005437CB" w:rsidRPr="005437CB" w:rsidRDefault="005437CB" w:rsidP="005437CB">
      <w:pPr>
        <w:spacing w:after="0"/>
        <w:rPr>
          <w:rFonts w:asciiTheme="minorHAnsi" w:hAnsiTheme="minorHAnsi" w:cstheme="minorHAnsi"/>
          <w:color w:val="000000" w:themeColor="text1"/>
        </w:rPr>
      </w:pPr>
      <w:r w:rsidRPr="005437CB">
        <w:rPr>
          <w:rFonts w:asciiTheme="minorHAnsi" w:hAnsiTheme="minorHAnsi" w:cstheme="minorHAnsi"/>
          <w:color w:val="000000" w:themeColor="text1"/>
        </w:rPr>
        <w:t xml:space="preserve">É consequência natural de um TC que este tipo de produto não se destine a investidores tradicionais porque a rentabilidade entregue, em média, estará abaixo de outros instrumentos financeiros com risco similar (isto é, extremamente baixo). Em outras palavras, não se trata, realmente, de um bom investimento financeiro simplesmente porque </w:t>
      </w:r>
      <w:proofErr w:type="spellStart"/>
      <w:r w:rsidRPr="005437CB">
        <w:rPr>
          <w:rFonts w:asciiTheme="minorHAnsi" w:hAnsiTheme="minorHAnsi" w:cstheme="minorHAnsi"/>
          <w:color w:val="000000" w:themeColor="text1"/>
        </w:rPr>
        <w:t>TCs</w:t>
      </w:r>
      <w:proofErr w:type="spellEnd"/>
      <w:r w:rsidRPr="005437CB">
        <w:rPr>
          <w:rFonts w:asciiTheme="minorHAnsi" w:hAnsiTheme="minorHAnsi" w:cstheme="minorHAnsi"/>
          <w:color w:val="000000" w:themeColor="text1"/>
        </w:rPr>
        <w:t xml:space="preserve"> não são concebidos como investimentos financeiros puros.</w:t>
      </w:r>
    </w:p>
    <w:p w14:paraId="46359903" w14:textId="77777777" w:rsidR="005437CB" w:rsidRPr="005437CB" w:rsidRDefault="005437CB" w:rsidP="005437CB">
      <w:pPr>
        <w:spacing w:after="0"/>
        <w:rPr>
          <w:rFonts w:asciiTheme="minorHAnsi" w:hAnsiTheme="minorHAnsi" w:cstheme="minorHAnsi"/>
          <w:color w:val="000000" w:themeColor="text1"/>
        </w:rPr>
      </w:pPr>
    </w:p>
    <w:p w14:paraId="113BDB1D" w14:textId="77777777" w:rsidR="005437CB" w:rsidRPr="005437CB" w:rsidRDefault="005437CB" w:rsidP="005437CB">
      <w:pPr>
        <w:spacing w:after="0"/>
        <w:rPr>
          <w:rFonts w:asciiTheme="minorHAnsi" w:hAnsiTheme="minorHAnsi" w:cstheme="minorHAnsi"/>
          <w:color w:val="000000" w:themeColor="text1"/>
        </w:rPr>
      </w:pPr>
      <w:r w:rsidRPr="005437CB">
        <w:rPr>
          <w:rFonts w:asciiTheme="minorHAnsi" w:hAnsiTheme="minorHAnsi" w:cstheme="minorHAnsi"/>
          <w:b/>
          <w:bCs/>
          <w:color w:val="000000" w:themeColor="text1"/>
          <w:u w:val="single"/>
        </w:rPr>
        <w:t xml:space="preserve">MAS, ENTÃO, POR QUE OS </w:t>
      </w:r>
      <w:proofErr w:type="spellStart"/>
      <w:r w:rsidRPr="005437CB">
        <w:rPr>
          <w:rFonts w:asciiTheme="minorHAnsi" w:hAnsiTheme="minorHAnsi" w:cstheme="minorHAnsi"/>
          <w:b/>
          <w:bCs/>
          <w:color w:val="000000" w:themeColor="text1"/>
          <w:u w:val="single"/>
        </w:rPr>
        <w:t>TCs</w:t>
      </w:r>
      <w:proofErr w:type="spellEnd"/>
      <w:r w:rsidRPr="005437CB">
        <w:rPr>
          <w:rFonts w:asciiTheme="minorHAnsi" w:hAnsiTheme="minorHAnsi" w:cstheme="minorHAnsi"/>
          <w:b/>
          <w:bCs/>
          <w:color w:val="000000" w:themeColor="text1"/>
          <w:u w:val="single"/>
        </w:rPr>
        <w:t xml:space="preserve"> ATRAEM TANTAS PESSOAS?</w:t>
      </w:r>
      <w:r w:rsidRPr="005437CB">
        <w:rPr>
          <w:rFonts w:asciiTheme="minorHAnsi" w:hAnsiTheme="minorHAnsi" w:cstheme="minorHAnsi"/>
          <w:color w:val="000000" w:themeColor="text1"/>
        </w:rPr>
        <w:t xml:space="preserve"> </w:t>
      </w:r>
    </w:p>
    <w:p w14:paraId="4051A4E7" w14:textId="77777777" w:rsidR="005437CB" w:rsidRPr="005437CB" w:rsidRDefault="005437CB" w:rsidP="005437CB">
      <w:pPr>
        <w:spacing w:after="0"/>
        <w:rPr>
          <w:rFonts w:asciiTheme="minorHAnsi" w:hAnsiTheme="minorHAnsi" w:cstheme="minorHAnsi"/>
          <w:color w:val="000000" w:themeColor="text1"/>
        </w:rPr>
      </w:pPr>
    </w:p>
    <w:p w14:paraId="173002B2" w14:textId="77777777" w:rsidR="005437CB" w:rsidRPr="005437CB" w:rsidRDefault="005437CB" w:rsidP="005437CB">
      <w:pPr>
        <w:spacing w:after="0"/>
        <w:rPr>
          <w:rFonts w:asciiTheme="minorHAnsi" w:hAnsiTheme="minorHAnsi" w:cstheme="minorHAnsi"/>
          <w:color w:val="000000" w:themeColor="text1"/>
        </w:rPr>
      </w:pPr>
      <w:r w:rsidRPr="005437CB">
        <w:rPr>
          <w:rFonts w:asciiTheme="minorHAnsi" w:hAnsiTheme="minorHAnsi" w:cstheme="minorHAnsi"/>
          <w:color w:val="000000" w:themeColor="text1"/>
        </w:rPr>
        <w:t xml:space="preserve">A resposta é simples: por causa dos sorteios, que distinguem os </w:t>
      </w:r>
      <w:proofErr w:type="spellStart"/>
      <w:r w:rsidRPr="005437CB">
        <w:rPr>
          <w:rFonts w:asciiTheme="minorHAnsi" w:hAnsiTheme="minorHAnsi" w:cstheme="minorHAnsi"/>
          <w:color w:val="000000" w:themeColor="text1"/>
        </w:rPr>
        <w:t>TCs</w:t>
      </w:r>
      <w:proofErr w:type="spellEnd"/>
      <w:r w:rsidRPr="005437CB">
        <w:rPr>
          <w:rFonts w:asciiTheme="minorHAnsi" w:hAnsiTheme="minorHAnsi" w:cstheme="minorHAnsi"/>
          <w:color w:val="000000" w:themeColor="text1"/>
        </w:rPr>
        <w:t xml:space="preserve"> de investimentos tradicionais de baixíssimo risco. Quem compra um TC </w:t>
      </w:r>
      <w:proofErr w:type="gramStart"/>
      <w:r w:rsidRPr="005437CB">
        <w:rPr>
          <w:rFonts w:asciiTheme="minorHAnsi" w:hAnsiTheme="minorHAnsi" w:cstheme="minorHAnsi"/>
          <w:color w:val="000000" w:themeColor="text1"/>
        </w:rPr>
        <w:t>abre mão da</w:t>
      </w:r>
      <w:proofErr w:type="gramEnd"/>
      <w:r w:rsidRPr="005437CB">
        <w:rPr>
          <w:rFonts w:asciiTheme="minorHAnsi" w:hAnsiTheme="minorHAnsi" w:cstheme="minorHAnsi"/>
          <w:color w:val="000000" w:themeColor="text1"/>
        </w:rPr>
        <w:t xml:space="preserve"> remuneração de mercado pelo risco de ser sorteado e levar uma bolada para casa. Nesse caso, o risco é bom e a pessoa se sente confortável ao pagar por ele! Trata-se da relação fundamental de finanças – risco e retorno, mas aqui no sentido oposto. No caso tradicional, um </w:t>
      </w:r>
      <w:r w:rsidRPr="005437CB">
        <w:rPr>
          <w:rFonts w:asciiTheme="minorHAnsi" w:hAnsiTheme="minorHAnsi" w:cstheme="minorHAnsi"/>
          <w:b/>
          <w:bCs/>
          <w:color w:val="000000" w:themeColor="text1"/>
        </w:rPr>
        <w:t>maior risco de perda</w:t>
      </w:r>
      <w:r w:rsidRPr="005437CB">
        <w:rPr>
          <w:rFonts w:asciiTheme="minorHAnsi" w:hAnsiTheme="minorHAnsi" w:cstheme="minorHAnsi"/>
          <w:color w:val="000000" w:themeColor="text1"/>
        </w:rPr>
        <w:t xml:space="preserve"> precisa ser recompensado por uma </w:t>
      </w:r>
      <w:r w:rsidRPr="005437CB">
        <w:rPr>
          <w:rFonts w:asciiTheme="minorHAnsi" w:hAnsiTheme="minorHAnsi" w:cstheme="minorHAnsi"/>
          <w:b/>
          <w:bCs/>
          <w:color w:val="000000" w:themeColor="text1"/>
        </w:rPr>
        <w:t>expectativa maior de retorno</w:t>
      </w:r>
      <w:r w:rsidRPr="005437CB">
        <w:rPr>
          <w:rFonts w:asciiTheme="minorHAnsi" w:hAnsiTheme="minorHAnsi" w:cstheme="minorHAnsi"/>
          <w:color w:val="000000" w:themeColor="text1"/>
        </w:rPr>
        <w:t xml:space="preserve">. Mas no caso em tela, um </w:t>
      </w:r>
      <w:r w:rsidRPr="005437CB">
        <w:rPr>
          <w:rFonts w:asciiTheme="minorHAnsi" w:hAnsiTheme="minorHAnsi" w:cstheme="minorHAnsi"/>
          <w:b/>
          <w:bCs/>
          <w:color w:val="000000" w:themeColor="text1"/>
        </w:rPr>
        <w:t>maior risco de ganho fenomenal</w:t>
      </w:r>
      <w:r w:rsidRPr="005437CB">
        <w:rPr>
          <w:rFonts w:asciiTheme="minorHAnsi" w:hAnsiTheme="minorHAnsi" w:cstheme="minorHAnsi"/>
          <w:color w:val="000000" w:themeColor="text1"/>
        </w:rPr>
        <w:t xml:space="preserve"> é compensado por uma </w:t>
      </w:r>
      <w:r w:rsidRPr="005437CB">
        <w:rPr>
          <w:rFonts w:asciiTheme="minorHAnsi" w:hAnsiTheme="minorHAnsi" w:cstheme="minorHAnsi"/>
          <w:b/>
          <w:bCs/>
          <w:color w:val="000000" w:themeColor="text1"/>
        </w:rPr>
        <w:t>menor expectativa de retorno</w:t>
      </w:r>
      <w:r w:rsidRPr="005437CB">
        <w:rPr>
          <w:rFonts w:asciiTheme="minorHAnsi" w:hAnsiTheme="minorHAnsi" w:cstheme="minorHAnsi"/>
          <w:color w:val="000000" w:themeColor="text1"/>
        </w:rPr>
        <w:t>.</w:t>
      </w:r>
    </w:p>
    <w:p w14:paraId="27E412CC" w14:textId="77777777" w:rsidR="005437CB" w:rsidRPr="005437CB" w:rsidRDefault="005437CB" w:rsidP="005437CB">
      <w:pPr>
        <w:spacing w:after="0"/>
        <w:rPr>
          <w:rFonts w:asciiTheme="minorHAnsi" w:hAnsiTheme="minorHAnsi" w:cstheme="minorHAnsi"/>
          <w:color w:val="000000" w:themeColor="text1"/>
        </w:rPr>
      </w:pPr>
    </w:p>
    <w:p w14:paraId="73B1F56C" w14:textId="77777777" w:rsidR="005437CB" w:rsidRPr="005437CB" w:rsidRDefault="005437CB" w:rsidP="005437CB">
      <w:pPr>
        <w:spacing w:after="0"/>
        <w:rPr>
          <w:rFonts w:asciiTheme="minorHAnsi" w:hAnsiTheme="minorHAnsi" w:cstheme="minorHAnsi"/>
          <w:color w:val="000000" w:themeColor="text1"/>
        </w:rPr>
      </w:pPr>
      <w:r w:rsidRPr="005437CB">
        <w:rPr>
          <w:rFonts w:asciiTheme="minorHAnsi" w:hAnsiTheme="minorHAnsi" w:cstheme="minorHAnsi"/>
          <w:color w:val="000000" w:themeColor="text1"/>
        </w:rPr>
        <w:t xml:space="preserve">Posso citar o sucesso da </w:t>
      </w:r>
      <w:proofErr w:type="spellStart"/>
      <w:proofErr w:type="gramStart"/>
      <w:r w:rsidRPr="005437CB">
        <w:rPr>
          <w:rFonts w:asciiTheme="minorHAnsi" w:hAnsiTheme="minorHAnsi" w:cstheme="minorHAnsi"/>
          <w:color w:val="000000" w:themeColor="text1"/>
        </w:rPr>
        <w:t>mega-sena</w:t>
      </w:r>
      <w:proofErr w:type="spellEnd"/>
      <w:proofErr w:type="gramEnd"/>
      <w:r w:rsidRPr="005437CB">
        <w:rPr>
          <w:rFonts w:asciiTheme="minorHAnsi" w:hAnsiTheme="minorHAnsi" w:cstheme="minorHAnsi"/>
          <w:color w:val="000000" w:themeColor="text1"/>
        </w:rPr>
        <w:t xml:space="preserve"> (especialmente, a da virada), quando boa parte dos brasileiros resolve “investir” R$ 4,50 num jogo de reconhecido VPL negativo (ou seja, de expectativa de retorno negativo, aliás, com probabilidade enorme de perda total do capital investido). Outro bom exemplo é que as casas de bingo, quando legalizadas em nosso país, viviam lotadas mesmo que todos soubessem que, em média, estavam ali perdendo dinheiro (ou seja, com rentabilidade negativa). No primeiro caso, as pessoas aceitam a enorme chance de perder todo o montante investido pelo simples fato de poderem sonhar com uma vida de luxo: a remota chance de se tornar um milionário as fazem aceitar uma perda praticamente certa (porém, bem pequena). Já no segundo caso, as pessoas não enxergam o bingo unicamente pelo viés financeiro, mas dão bastante peso à diversão e à chance de, eventualmente, conseguirem gritar “bingo!” e ganhar uma quantia acima da apostada.</w:t>
      </w:r>
    </w:p>
    <w:p w14:paraId="0D211DDC" w14:textId="77777777" w:rsidR="005437CB" w:rsidRPr="005437CB" w:rsidRDefault="005437CB" w:rsidP="005437CB">
      <w:pPr>
        <w:spacing w:after="0"/>
        <w:rPr>
          <w:rFonts w:asciiTheme="minorHAnsi" w:hAnsiTheme="minorHAnsi" w:cstheme="minorHAnsi"/>
          <w:color w:val="000000" w:themeColor="text1"/>
        </w:rPr>
      </w:pPr>
    </w:p>
    <w:p w14:paraId="4A832A82" w14:textId="77777777" w:rsidR="005437CB" w:rsidRPr="005437CB" w:rsidRDefault="005437CB" w:rsidP="005437CB">
      <w:pPr>
        <w:spacing w:after="0"/>
        <w:rPr>
          <w:rFonts w:asciiTheme="minorHAnsi" w:hAnsiTheme="minorHAnsi" w:cstheme="minorHAnsi"/>
          <w:b/>
          <w:bCs/>
          <w:color w:val="000000" w:themeColor="text1"/>
          <w:u w:val="single"/>
        </w:rPr>
      </w:pPr>
      <w:r w:rsidRPr="005437CB">
        <w:rPr>
          <w:rFonts w:asciiTheme="minorHAnsi" w:hAnsiTheme="minorHAnsi" w:cstheme="minorHAnsi"/>
          <w:b/>
          <w:bCs/>
          <w:color w:val="000000" w:themeColor="text1"/>
          <w:u w:val="single"/>
        </w:rPr>
        <w:lastRenderedPageBreak/>
        <w:t>PARA QUAL PERFIL UM TÍTULO DE CAPITALIZAÇÃO PODE VALER A PENA?</w:t>
      </w:r>
    </w:p>
    <w:p w14:paraId="25028FCD" w14:textId="77777777" w:rsidR="005437CB" w:rsidRPr="005437CB" w:rsidRDefault="005437CB" w:rsidP="005437CB">
      <w:pPr>
        <w:spacing w:after="0"/>
        <w:rPr>
          <w:rFonts w:asciiTheme="minorHAnsi" w:hAnsiTheme="minorHAnsi" w:cstheme="minorHAnsi"/>
          <w:b/>
          <w:bCs/>
          <w:color w:val="000000" w:themeColor="text1"/>
        </w:rPr>
      </w:pPr>
    </w:p>
    <w:p w14:paraId="6E536564" w14:textId="77777777" w:rsidR="005437CB" w:rsidRPr="005437CB" w:rsidRDefault="005437CB" w:rsidP="005437CB">
      <w:pPr>
        <w:spacing w:after="0"/>
        <w:rPr>
          <w:rFonts w:asciiTheme="minorHAnsi" w:hAnsiTheme="minorHAnsi" w:cstheme="minorHAnsi"/>
          <w:color w:val="000000" w:themeColor="text1"/>
        </w:rPr>
      </w:pPr>
      <w:r w:rsidRPr="005437CB">
        <w:rPr>
          <w:rFonts w:asciiTheme="minorHAnsi" w:hAnsiTheme="minorHAnsi" w:cstheme="minorHAnsi"/>
          <w:color w:val="000000" w:themeColor="text1"/>
        </w:rPr>
        <w:t xml:space="preserve">Um TC tem a mesma questão comportamental discutida no texto sobre consórcios: muitos encaram a sua prestação como uma despesa e, como tal, há prioridade absoluta em não atrasar. Ademais, os </w:t>
      </w:r>
      <w:proofErr w:type="spellStart"/>
      <w:r w:rsidRPr="005437CB">
        <w:rPr>
          <w:rFonts w:asciiTheme="minorHAnsi" w:hAnsiTheme="minorHAnsi" w:cstheme="minorHAnsi"/>
          <w:color w:val="000000" w:themeColor="text1"/>
        </w:rPr>
        <w:t>TCs</w:t>
      </w:r>
      <w:proofErr w:type="spellEnd"/>
      <w:r w:rsidRPr="005437CB">
        <w:rPr>
          <w:rFonts w:asciiTheme="minorHAnsi" w:hAnsiTheme="minorHAnsi" w:cstheme="minorHAnsi"/>
          <w:color w:val="000000" w:themeColor="text1"/>
        </w:rPr>
        <w:t xml:space="preserve"> exigem adimplência para participação nos sorteios, promovendo educação financeira através da conscientização e da disciplina de investimento. É o dinheiro do cafezinho e do gasto aleatório desnecessário sendo guardado para o futuro. Com isso, um título de capitalização acaba atraindo pessoas com um perfil que agrega duas características principais:</w:t>
      </w:r>
    </w:p>
    <w:p w14:paraId="106596D5" w14:textId="77777777" w:rsidR="005437CB" w:rsidRPr="005437CB" w:rsidRDefault="005437CB" w:rsidP="005437CB">
      <w:pPr>
        <w:spacing w:after="0"/>
        <w:rPr>
          <w:rFonts w:asciiTheme="minorHAnsi" w:hAnsiTheme="minorHAnsi" w:cstheme="minorHAnsi"/>
          <w:color w:val="000000" w:themeColor="text1"/>
        </w:rPr>
      </w:pPr>
    </w:p>
    <w:p w14:paraId="24581344" w14:textId="77777777" w:rsidR="005437CB" w:rsidRPr="005437CB" w:rsidRDefault="005437CB" w:rsidP="005437CB">
      <w:pPr>
        <w:pStyle w:val="ListParagraph"/>
        <w:numPr>
          <w:ilvl w:val="0"/>
          <w:numId w:val="6"/>
        </w:numPr>
        <w:spacing w:before="0" w:after="0"/>
        <w:rPr>
          <w:rFonts w:asciiTheme="minorHAnsi" w:hAnsiTheme="minorHAnsi" w:cstheme="minorHAnsi"/>
          <w:color w:val="000000" w:themeColor="text1"/>
        </w:rPr>
      </w:pPr>
      <w:r w:rsidRPr="005437CB">
        <w:rPr>
          <w:rFonts w:asciiTheme="minorHAnsi" w:hAnsiTheme="minorHAnsi" w:cstheme="minorHAnsi"/>
          <w:color w:val="000000" w:themeColor="text1"/>
        </w:rPr>
        <w:t>Elas não conseguem ter o hábito de investir com rigor e disciplina, de modo que o TC se torna um “investimento forçado” e, portanto, acabam acumulando via TC o que não conseguiriam acumular normalmente; e</w:t>
      </w:r>
    </w:p>
    <w:p w14:paraId="61E7DFC8" w14:textId="77777777" w:rsidR="005437CB" w:rsidRPr="005437CB" w:rsidRDefault="005437CB" w:rsidP="005437CB">
      <w:pPr>
        <w:pStyle w:val="ListParagraph"/>
        <w:numPr>
          <w:ilvl w:val="0"/>
          <w:numId w:val="6"/>
        </w:numPr>
        <w:spacing w:before="0" w:after="0"/>
        <w:rPr>
          <w:rFonts w:asciiTheme="minorHAnsi" w:hAnsiTheme="minorHAnsi" w:cstheme="minorHAnsi"/>
          <w:color w:val="000000" w:themeColor="text1"/>
        </w:rPr>
      </w:pPr>
      <w:r w:rsidRPr="005437CB">
        <w:rPr>
          <w:rFonts w:asciiTheme="minorHAnsi" w:hAnsiTheme="minorHAnsi" w:cstheme="minorHAnsi"/>
          <w:color w:val="000000" w:themeColor="text1"/>
        </w:rPr>
        <w:t>Elas gostam dos sorteios e sentem-se motivadas pela possibilidade de serem sorteadas e levarem para casa uma quantia que pode mudar suas vidas.</w:t>
      </w:r>
    </w:p>
    <w:p w14:paraId="1780F1D2" w14:textId="77777777" w:rsidR="005437CB" w:rsidRPr="005437CB" w:rsidRDefault="005437CB" w:rsidP="005437CB">
      <w:pPr>
        <w:spacing w:after="0"/>
        <w:rPr>
          <w:rFonts w:asciiTheme="minorHAnsi" w:hAnsiTheme="minorHAnsi" w:cstheme="minorHAnsi"/>
          <w:color w:val="000000" w:themeColor="text1"/>
        </w:rPr>
      </w:pPr>
    </w:p>
    <w:p w14:paraId="48C9C9EC" w14:textId="77777777" w:rsidR="005437CB" w:rsidRPr="005437CB" w:rsidRDefault="005437CB" w:rsidP="005437CB">
      <w:pPr>
        <w:spacing w:after="0"/>
        <w:rPr>
          <w:rFonts w:asciiTheme="minorHAnsi" w:hAnsiTheme="minorHAnsi" w:cstheme="minorHAnsi"/>
          <w:b/>
          <w:bCs/>
          <w:color w:val="000000" w:themeColor="text1"/>
          <w:u w:val="single"/>
        </w:rPr>
      </w:pPr>
      <w:r w:rsidRPr="005437CB">
        <w:rPr>
          <w:rFonts w:asciiTheme="minorHAnsi" w:hAnsiTheme="minorHAnsi" w:cstheme="minorHAnsi"/>
          <w:b/>
          <w:bCs/>
          <w:color w:val="000000" w:themeColor="text1"/>
          <w:u w:val="single"/>
        </w:rPr>
        <w:t>PARA QUAL PERFIL UM TÍTULO DE CAPITALIZAÇÃO NÃO VALE A PENA?</w:t>
      </w:r>
    </w:p>
    <w:p w14:paraId="00544B43" w14:textId="77777777" w:rsidR="005437CB" w:rsidRPr="005437CB" w:rsidRDefault="005437CB" w:rsidP="005437CB">
      <w:pPr>
        <w:spacing w:after="0"/>
        <w:rPr>
          <w:rFonts w:asciiTheme="minorHAnsi" w:hAnsiTheme="minorHAnsi" w:cstheme="minorHAnsi"/>
          <w:color w:val="000000" w:themeColor="text1"/>
          <w:highlight w:val="yellow"/>
        </w:rPr>
      </w:pPr>
    </w:p>
    <w:p w14:paraId="3CD80BBA" w14:textId="77777777" w:rsidR="005437CB" w:rsidRPr="005437CB" w:rsidRDefault="005437CB" w:rsidP="005437CB">
      <w:pPr>
        <w:spacing w:after="0"/>
        <w:rPr>
          <w:rFonts w:asciiTheme="minorHAnsi" w:hAnsiTheme="minorHAnsi" w:cstheme="minorHAnsi"/>
          <w:color w:val="000000" w:themeColor="text1"/>
        </w:rPr>
      </w:pPr>
      <w:r w:rsidRPr="005437CB">
        <w:rPr>
          <w:rFonts w:asciiTheme="minorHAnsi" w:hAnsiTheme="minorHAnsi" w:cstheme="minorHAnsi"/>
          <w:color w:val="000000" w:themeColor="text1"/>
        </w:rPr>
        <w:t xml:space="preserve">Títulos de capitalização não valem a pena para pessoas disciplinadas financeiramente e que racionalizam o fato de os sorteios terem retorno esperado negativo (pois o que se paga por eles é maior que o prêmio ponderado pela chance de vitória). Elas concluem se tratar de um investimento de soma negativa: os perdedores perdem muito mais do que ganham os vencedores. Por este motivo, este público prefere </w:t>
      </w:r>
      <w:proofErr w:type="gramStart"/>
      <w:r w:rsidRPr="005437CB">
        <w:rPr>
          <w:rFonts w:asciiTheme="minorHAnsi" w:hAnsiTheme="minorHAnsi" w:cstheme="minorHAnsi"/>
          <w:color w:val="000000" w:themeColor="text1"/>
        </w:rPr>
        <w:t>abrir mão dos</w:t>
      </w:r>
      <w:proofErr w:type="gramEnd"/>
      <w:r w:rsidRPr="005437CB">
        <w:rPr>
          <w:rFonts w:asciiTheme="minorHAnsi" w:hAnsiTheme="minorHAnsi" w:cstheme="minorHAnsi"/>
          <w:color w:val="000000" w:themeColor="text1"/>
        </w:rPr>
        <w:t xml:space="preserve"> sorteios em busca de rentabilidades consistentes e alinhadas com o mercado. </w:t>
      </w:r>
    </w:p>
    <w:p w14:paraId="4746B5DD" w14:textId="77777777" w:rsidR="005437CB" w:rsidRPr="005437CB" w:rsidRDefault="005437CB" w:rsidP="005437CB">
      <w:pPr>
        <w:spacing w:after="0"/>
        <w:rPr>
          <w:rFonts w:asciiTheme="minorHAnsi" w:hAnsiTheme="minorHAnsi" w:cstheme="minorHAnsi"/>
          <w:color w:val="000000" w:themeColor="text1"/>
        </w:rPr>
      </w:pPr>
    </w:p>
    <w:p w14:paraId="7EBBB899" w14:textId="77777777" w:rsidR="005437CB" w:rsidRPr="005437CB" w:rsidRDefault="005437CB" w:rsidP="005437CB">
      <w:pPr>
        <w:spacing w:after="0"/>
        <w:rPr>
          <w:rFonts w:asciiTheme="minorHAnsi" w:hAnsiTheme="minorHAnsi" w:cstheme="minorHAnsi"/>
          <w:color w:val="000000" w:themeColor="text1"/>
        </w:rPr>
      </w:pPr>
      <w:r w:rsidRPr="005437CB">
        <w:rPr>
          <w:rFonts w:asciiTheme="minorHAnsi" w:hAnsiTheme="minorHAnsi" w:cstheme="minorHAnsi"/>
          <w:color w:val="000000" w:themeColor="text1"/>
        </w:rPr>
        <w:t xml:space="preserve">E você, em qual perfil está? Espero ter conseguido explicar a dinâmica de um título de capitalização e se ele se adequa ou não ao seu perfil. De forma definitiva. </w:t>
      </w:r>
    </w:p>
    <w:p w14:paraId="16C4DCEB" w14:textId="77777777" w:rsidR="00E705F9" w:rsidRPr="00E705F9" w:rsidRDefault="00E705F9" w:rsidP="00E705F9">
      <w:pPr>
        <w:rPr>
          <w:rFonts w:asciiTheme="minorHAnsi" w:eastAsiaTheme="minorHAnsi" w:hAnsiTheme="minorHAnsi" w:cstheme="minorBidi"/>
          <w:bCs/>
          <w:iCs/>
          <w:color w:val="000000" w:themeColor="text1"/>
          <w:lang w:eastAsia="en-US"/>
        </w:rPr>
      </w:pPr>
    </w:p>
    <w:p w14:paraId="195BDABF" w14:textId="77777777" w:rsidR="00E705F9" w:rsidRPr="00E705F9" w:rsidRDefault="00E705F9" w:rsidP="00E705F9">
      <w:pPr>
        <w:rPr>
          <w:rFonts w:asciiTheme="minorHAnsi" w:eastAsiaTheme="minorHAnsi" w:hAnsiTheme="minorHAnsi" w:cstheme="minorBidi"/>
          <w:bCs/>
          <w:iCs/>
          <w:color w:val="000000" w:themeColor="text1"/>
          <w:lang w:eastAsia="en-US"/>
        </w:rPr>
      </w:pPr>
      <w:r w:rsidRPr="00E705F9">
        <w:rPr>
          <w:rFonts w:asciiTheme="minorHAnsi" w:eastAsiaTheme="minorHAnsi" w:hAnsiTheme="minorHAnsi" w:cstheme="minorBidi"/>
          <w:bCs/>
          <w:iCs/>
          <w:color w:val="000000" w:themeColor="text1"/>
          <w:lang w:eastAsia="en-US"/>
        </w:rPr>
        <w:t>Forte abraço a todos vocês.</w:t>
      </w:r>
    </w:p>
    <w:p w14:paraId="7DC7C827" w14:textId="77777777" w:rsidR="00E4535C" w:rsidRPr="00E4535C" w:rsidRDefault="00E4535C" w:rsidP="00E4535C">
      <w:pPr>
        <w:rPr>
          <w:rFonts w:asciiTheme="minorHAnsi" w:eastAsiaTheme="minorHAnsi" w:hAnsiTheme="minorHAnsi" w:cstheme="minorBidi"/>
          <w:bCs/>
          <w:iCs/>
          <w:color w:val="000000" w:themeColor="text1"/>
          <w:lang w:eastAsia="en-US"/>
        </w:rPr>
      </w:pPr>
    </w:p>
    <w:p w14:paraId="1EC55CC6" w14:textId="0C499B1A" w:rsidR="00BE797C" w:rsidRPr="00BE797C" w:rsidRDefault="00A64B64" w:rsidP="00862BAF">
      <w:pPr>
        <w:spacing w:after="0"/>
      </w:pPr>
      <w:r w:rsidRPr="005C7A11">
        <w:rPr>
          <w:rFonts w:asciiTheme="minorHAnsi" w:eastAsiaTheme="minorHAnsi" w:hAnsiTheme="minorHAnsi" w:cstheme="minorBidi"/>
          <w:b/>
          <w:i/>
          <w:lang w:eastAsia="en-US"/>
        </w:rPr>
        <w:t>* Carlos Heitor Campani é PhD em Finanças, Pesquisador da Cátedra Brasilprev em Previdência e da ENS – Escola de Negócios e Seguros, Diretor Acadêmico da iluminus – Academia de Finanças e sócio-fundador da CHC Treinamento e Consultoria. Ele pode ser encontrado em</w:t>
      </w:r>
      <w:r>
        <w:rPr>
          <w:b/>
          <w:i/>
        </w:rPr>
        <w:t xml:space="preserve"> </w:t>
      </w:r>
      <w:hyperlink r:id="rId8" w:history="1">
        <w:r w:rsidRPr="0050138C">
          <w:rPr>
            <w:rStyle w:val="Hyperlink"/>
            <w:rFonts w:asciiTheme="minorHAnsi" w:eastAsiaTheme="minorHAnsi" w:hAnsiTheme="minorHAnsi" w:cstheme="minorBidi"/>
            <w:b/>
            <w:i/>
            <w:color w:val="0000FF"/>
            <w:lang w:eastAsia="en-US"/>
          </w:rPr>
          <w:t>www.carlosheitorcampani.com</w:t>
        </w:r>
      </w:hyperlink>
      <w:r w:rsidRPr="00F37C29">
        <w:rPr>
          <w:b/>
          <w:i/>
        </w:rPr>
        <w:t xml:space="preserve"> </w:t>
      </w:r>
      <w:r w:rsidRPr="005C7A11">
        <w:rPr>
          <w:rFonts w:asciiTheme="minorHAnsi" w:eastAsiaTheme="minorHAnsi" w:hAnsiTheme="minorHAnsi" w:cstheme="minorBidi"/>
          <w:b/>
          <w:i/>
          <w:lang w:eastAsia="en-US"/>
        </w:rPr>
        <w:t>e nas redes sociais: @carlosheitorcampani.</w:t>
      </w:r>
    </w:p>
    <w:sectPr w:rsidR="00BE797C" w:rsidRPr="00BE797C" w:rsidSect="00A64B64">
      <w:headerReference w:type="even" r:id="rId9"/>
      <w:headerReference w:type="default" r:id="rId10"/>
      <w:footerReference w:type="default" r:id="rId11"/>
      <w:headerReference w:type="first" r:id="rId12"/>
      <w:footerReference w:type="first" r:id="rId13"/>
      <w:pgSz w:w="11906" w:h="16838"/>
      <w:pgMar w:top="1418" w:right="1376" w:bottom="1418" w:left="108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63174D" w14:textId="77777777" w:rsidR="00080B53" w:rsidRDefault="00080B53" w:rsidP="004D2193">
      <w:r>
        <w:separator/>
      </w:r>
    </w:p>
  </w:endnote>
  <w:endnote w:type="continuationSeparator" w:id="0">
    <w:p w14:paraId="5DD6648B" w14:textId="77777777" w:rsidR="00080B53" w:rsidRDefault="00080B53" w:rsidP="004D21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Corpo)">
    <w:altName w:val="Calibri"/>
    <w:charset w:val="00"/>
    <w:family w:val="roman"/>
    <w:pitch w:val="default"/>
  </w:font>
  <w:font w:name="Times New Roman (Títulos CS)">
    <w:altName w:val="Times New Roman"/>
    <w:charset w:val="00"/>
    <w:family w:val="roman"/>
    <w:pitch w:val="default"/>
  </w:font>
  <w:font w:name="Bona Nova">
    <w:altName w:val="Calibri"/>
    <w:charset w:val="00"/>
    <w:family w:val="auto"/>
    <w:pitch w:val="variable"/>
    <w:sig w:usb0="A0002AFF" w:usb1="C200E0FB" w:usb2="01000008"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D02A63" w14:textId="073E422F" w:rsidR="00E010F7" w:rsidRDefault="00A4666F" w:rsidP="004D2193">
    <w:r>
      <w:rPr>
        <w:noProof/>
      </w:rPr>
      <mc:AlternateContent>
        <mc:Choice Requires="wps">
          <w:drawing>
            <wp:anchor distT="0" distB="0" distL="114300" distR="114300" simplePos="0" relativeHeight="251659776" behindDoc="0" locked="0" layoutInCell="1" allowOverlap="1" wp14:anchorId="7827C138" wp14:editId="0EF25F42">
              <wp:simplePos x="0" y="0"/>
              <wp:positionH relativeFrom="margin">
                <wp:align>center</wp:align>
              </wp:positionH>
              <wp:positionV relativeFrom="paragraph">
                <wp:posOffset>445753</wp:posOffset>
              </wp:positionV>
              <wp:extent cx="1709391" cy="313898"/>
              <wp:effectExtent l="0" t="0" r="0" b="0"/>
              <wp:wrapNone/>
              <wp:docPr id="2" name="Caixa de Texto 10"/>
              <wp:cNvGraphicFramePr/>
              <a:graphic xmlns:a="http://schemas.openxmlformats.org/drawingml/2006/main">
                <a:graphicData uri="http://schemas.microsoft.com/office/word/2010/wordprocessingShape">
                  <wps:wsp>
                    <wps:cNvSpPr txBox="1"/>
                    <wps:spPr>
                      <a:xfrm>
                        <a:off x="0" y="0"/>
                        <a:ext cx="1709391" cy="313898"/>
                      </a:xfrm>
                      <a:prstGeom prst="rect">
                        <a:avLst/>
                      </a:prstGeom>
                      <a:noFill/>
                      <a:ln w="6350">
                        <a:noFill/>
                      </a:ln>
                    </wps:spPr>
                    <wps:txbx>
                      <w:txbxContent>
                        <w:p w14:paraId="69663310" w14:textId="77777777" w:rsidR="00A4666F" w:rsidRPr="00FC6403" w:rsidRDefault="00A4666F" w:rsidP="00A4666F">
                          <w:pPr>
                            <w:pStyle w:val="NoSpacing"/>
                            <w:spacing w:line="288" w:lineRule="auto"/>
                            <w:jc w:val="right"/>
                            <w:rPr>
                              <w:rFonts w:ascii="Bona Nova" w:hAnsi="Bona Nova" w:cs="Bona Nova"/>
                              <w:color w:val="E7D188"/>
                            </w:rPr>
                          </w:pPr>
                          <w:r w:rsidRPr="00FC6403">
                            <w:rPr>
                              <w:rFonts w:ascii="Bona Nova" w:hAnsi="Bona Nova" w:cs="Bona Nova"/>
                              <w:color w:val="E7D188"/>
                            </w:rPr>
                            <w:t>www.</w:t>
                          </w:r>
                          <w:r>
                            <w:rPr>
                              <w:rFonts w:ascii="Bona Nova" w:hAnsi="Bona Nova" w:cs="Bona Nova"/>
                              <w:color w:val="E7D188"/>
                            </w:rPr>
                            <w:t>consultoriachc.com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27C138" id="_x0000_t202" coordsize="21600,21600" o:spt="202" path="m,l,21600r21600,l21600,xe">
              <v:stroke joinstyle="miter"/>
              <v:path gradientshapeok="t" o:connecttype="rect"/>
            </v:shapetype>
            <v:shape id="Caixa de Texto 10" o:spid="_x0000_s1026" type="#_x0000_t202" style="position:absolute;left:0;text-align:left;margin-left:0;margin-top:35.1pt;width:134.6pt;height:24.7pt;z-index:2516597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i//FwIAACwEAAAOAAAAZHJzL2Uyb0RvYy54bWysU1tv2yAUfp/U/4B4b+xc2iZWnCprlWlS&#10;1FZKpz4TDLElzGFAYme/fgfsXNTtadoLHDiHc/m+j/ljWytyENZVoHM6HKSUCM2hqPQupz/eV7dT&#10;SpxnumAKtMjpUTj6uLj5Mm9MJkZQgiqEJZhEu6wxOS29N1mSOF6KmrkBGKHRKcHWzOPR7pLCsgaz&#10;1yoZpel90oAtjAUunMPb585JFzG/lIL7Vymd8ETlFHvzcbVx3YY1WcxZtrPMlBXv22D/0EXNKo1F&#10;z6memWdkb6s/UtUVt+BA+gGHOgEpKy7iDDjNMP00zaZkRsRZEBxnzjC5/5eWvxw25s0S336FFgkM&#10;gDTGZQ4vwzyttHXYsVOCfoTweIZNtJ7w8OghnY1nQ0o4+sbD8XQ2DWmSy2tjnf8moCbByKlFWiJa&#10;7LB2vgs9hYRiGlaVUpEapUmT0/vxXRofnD2YXGmscek1WL7dtv0AWyiOOJeFjnJn+KrC4mvm/Buz&#10;yDGOgrr1r7hIBVgEeouSEuyvv92HeIQevZQ0qJmcup97ZgUl6rtGUmbDySSILB4mdw8jPNhrz/ba&#10;o/f1E6AsETjsLpoh3quTKS3UHyjvZaiKLqY51s6pP5lPvlMyfg8ulssYhLIyzK/1xvCQOsAZoH1v&#10;P5g1Pf4emXuBk7pY9omGLrYjYrn3IKvIUQC4Q7XHHSUZWe6/T9D89TlGXT754jcAAAD//wMAUEsD&#10;BBQABgAIAAAAIQB8BQeL3wAAAAcBAAAPAAAAZHJzL2Rvd25yZXYueG1sTI9PS8NAEMXvgt9hmYI3&#10;u2nA2MZsSgkUQfTQ2ou3SXaahO6fmN220U/veNLbG97jvd8U68kacaEx9N4pWMwTEOQar3vXKji8&#10;b++XIEJEp9F4Rwq+KMC6vL0pMNf+6nZ02cdWcIkLOSroYhxyKUPTkcUw9wM59o5+tBj5HFupR7xy&#10;uTUyTZJMWuwdL3Q4UNVRc9qfrYKXavuGuzq1y29TPb8eN8Pn4eNBqbvZtHkCEWmKf2H4xWd0KJmp&#10;9mengzAK+JGo4DFJQbCbZisWNccWqwxkWcj//OUPAAAA//8DAFBLAQItABQABgAIAAAAIQC2gziS&#10;/gAAAOEBAAATAAAAAAAAAAAAAAAAAAAAAABbQ29udGVudF9UeXBlc10ueG1sUEsBAi0AFAAGAAgA&#10;AAAhADj9If/WAAAAlAEAAAsAAAAAAAAAAAAAAAAALwEAAF9yZWxzLy5yZWxzUEsBAi0AFAAGAAgA&#10;AAAhACqKL/8XAgAALAQAAA4AAAAAAAAAAAAAAAAALgIAAGRycy9lMm9Eb2MueG1sUEsBAi0AFAAG&#10;AAgAAAAhAHwFB4vfAAAABwEAAA8AAAAAAAAAAAAAAAAAcQQAAGRycy9kb3ducmV2LnhtbFBLBQYA&#10;AAAABAAEAPMAAAB9BQAAAAA=&#10;" filled="f" stroked="f" strokeweight=".5pt">
              <v:textbox>
                <w:txbxContent>
                  <w:p w14:paraId="69663310" w14:textId="77777777" w:rsidR="00A4666F" w:rsidRPr="00FC6403" w:rsidRDefault="00A4666F" w:rsidP="00A4666F">
                    <w:pPr>
                      <w:pStyle w:val="NoSpacing"/>
                      <w:spacing w:line="288" w:lineRule="auto"/>
                      <w:jc w:val="right"/>
                      <w:rPr>
                        <w:rFonts w:ascii="Bona Nova" w:hAnsi="Bona Nova" w:cs="Bona Nova"/>
                        <w:color w:val="E7D188"/>
                      </w:rPr>
                    </w:pPr>
                    <w:r w:rsidRPr="00FC6403">
                      <w:rPr>
                        <w:rFonts w:ascii="Bona Nova" w:hAnsi="Bona Nova" w:cs="Bona Nova"/>
                        <w:color w:val="E7D188"/>
                      </w:rPr>
                      <w:t>www.</w:t>
                    </w:r>
                    <w:r>
                      <w:rPr>
                        <w:rFonts w:ascii="Bona Nova" w:hAnsi="Bona Nova" w:cs="Bona Nova"/>
                        <w:color w:val="E7D188"/>
                      </w:rPr>
                      <w:t>consultoriachc.com</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1379A" w14:textId="4871BAA1" w:rsidR="00E010F7" w:rsidRDefault="00A3682D" w:rsidP="004D2193">
    <w:r>
      <w:rPr>
        <w:noProof/>
      </w:rPr>
      <mc:AlternateContent>
        <mc:Choice Requires="wps">
          <w:drawing>
            <wp:anchor distT="0" distB="0" distL="114300" distR="114300" simplePos="0" relativeHeight="251657728" behindDoc="0" locked="0" layoutInCell="1" allowOverlap="1" wp14:anchorId="567AC6A1" wp14:editId="044E4063">
              <wp:simplePos x="0" y="0"/>
              <wp:positionH relativeFrom="margin">
                <wp:align>center</wp:align>
              </wp:positionH>
              <wp:positionV relativeFrom="paragraph">
                <wp:posOffset>415148</wp:posOffset>
              </wp:positionV>
              <wp:extent cx="1709391" cy="313898"/>
              <wp:effectExtent l="0" t="0" r="0" b="0"/>
              <wp:wrapNone/>
              <wp:docPr id="10" name="Caixa de Texto 10"/>
              <wp:cNvGraphicFramePr/>
              <a:graphic xmlns:a="http://schemas.openxmlformats.org/drawingml/2006/main">
                <a:graphicData uri="http://schemas.microsoft.com/office/word/2010/wordprocessingShape">
                  <wps:wsp>
                    <wps:cNvSpPr txBox="1"/>
                    <wps:spPr>
                      <a:xfrm>
                        <a:off x="0" y="0"/>
                        <a:ext cx="1709391" cy="313898"/>
                      </a:xfrm>
                      <a:prstGeom prst="rect">
                        <a:avLst/>
                      </a:prstGeom>
                      <a:noFill/>
                      <a:ln w="6350">
                        <a:noFill/>
                      </a:ln>
                    </wps:spPr>
                    <wps:txbx>
                      <w:txbxContent>
                        <w:p w14:paraId="59851B0D" w14:textId="7F429313" w:rsidR="0054452C" w:rsidRPr="00FC6403" w:rsidRDefault="0054452C" w:rsidP="0054452C">
                          <w:pPr>
                            <w:pStyle w:val="NoSpacing"/>
                            <w:spacing w:line="288" w:lineRule="auto"/>
                            <w:jc w:val="right"/>
                            <w:rPr>
                              <w:rFonts w:ascii="Bona Nova" w:hAnsi="Bona Nova" w:cs="Bona Nova"/>
                              <w:color w:val="E7D188"/>
                            </w:rPr>
                          </w:pPr>
                          <w:r w:rsidRPr="00FC6403">
                            <w:rPr>
                              <w:rFonts w:ascii="Bona Nova" w:hAnsi="Bona Nova" w:cs="Bona Nova"/>
                              <w:color w:val="E7D188"/>
                            </w:rPr>
                            <w:t>www.</w:t>
                          </w:r>
                          <w:r w:rsidR="00A3682D">
                            <w:rPr>
                              <w:rFonts w:ascii="Bona Nova" w:hAnsi="Bona Nova" w:cs="Bona Nova"/>
                              <w:color w:val="E7D188"/>
                            </w:rPr>
                            <w:t>consultoriachc.com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7AC6A1" id="_x0000_t202" coordsize="21600,21600" o:spt="202" path="m,l,21600r21600,l21600,xe">
              <v:stroke joinstyle="miter"/>
              <v:path gradientshapeok="t" o:connecttype="rect"/>
            </v:shapetype>
            <v:shape id="_x0000_s1027" type="#_x0000_t202" style="position:absolute;left:0;text-align:left;margin-left:0;margin-top:32.7pt;width:134.6pt;height:24.7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8L/GAIAADMEAAAOAAAAZHJzL2Uyb0RvYy54bWysU9tuGyEQfa/Uf0C817u+JLFXXkduIleV&#10;oiSSU+UZs+BdCRgK2Lvu13dgfVPap6ovMDDDXM45zO87rcheON+AKelwkFMiDIeqMduS/nhbfZlS&#10;4gMzFVNgREkPwtP7xedP89YWYgQ1qEo4gkmML1pb0joEW2SZ57XQzA/ACoNOCU6zgEe3zSrHWsyu&#10;VTbK89usBVdZB1x4j7ePvZMuUn4pBQ8vUnoRiCop9hbS6tK6iWu2mLNi65itG35sg/1DF5o1Boue&#10;Uz2ywMjONX+k0g134EGGAQedgZQNF2kGnGaYf5hmXTMr0iwIjrdnmPz/S8uf92v76kjovkKHBEZA&#10;WusLj5dxnk46HXfslKAfITycYRNdIDw+ustn49mQEo6+8XA8nU1jmuzy2jofvgnQJBoldUhLQovt&#10;n3zoQ08hsZiBVaNUokYZ0pb0dnyTpwdnDyZXBmtceo1W6DYdaaqrOTZQHXA8Bz3z3vJVgz08MR9e&#10;mUOqcSKUb3jBRSrAWnC0KKnB/frbfYxHBtBLSYvSKan/uWNOUKK+G+RmNpxMotbSYXJzN8KDu/Zs&#10;rj1mpx8A1Yn4YXfJjPFBnUzpQL+jypexKrqY4Vi7pOFkPoRe0PhLuFguUxCqy7LwZNaWx9QR1Yjw&#10;W/fOnD3SEJDAZziJjBUf2Ohjez6WuwCySVRFnHtUj/CjMhPZx18UpX99TlGXv774DQAA//8DAFBL&#10;AwQUAAYACAAAACEAh2BYhd8AAAAHAQAADwAAAGRycy9kb3ducmV2LnhtbEyPQUvDQBSE74L/YXkF&#10;b3bT0IYYsyklUATRQ2sv3jbZ1yQ0+zZmt2301/s82eMww8w3+Xqyvbjg6DtHChbzCARS7UxHjYLD&#10;x/YxBeGDJqN7R6jgGz2si/u7XGfGXWmHl31oBJeQz7SCNoQhk9LXLVrt525AYu/oRqsDy7GRZtRX&#10;Lre9jKMokVZ3xAutHrBssT7tz1bBa7l917sqtulPX768HTfD1+FzpdTDbNo8gwg4hf8w/OEzOhTM&#10;VLkzGS96BXwkKEhWSxDsxslTDKLi2GKZgixyectf/AIAAP//AwBQSwECLQAUAAYACAAAACEAtoM4&#10;kv4AAADhAQAAEwAAAAAAAAAAAAAAAAAAAAAAW0NvbnRlbnRfVHlwZXNdLnhtbFBLAQItABQABgAI&#10;AAAAIQA4/SH/1gAAAJQBAAALAAAAAAAAAAAAAAAAAC8BAABfcmVscy8ucmVsc1BLAQItABQABgAI&#10;AAAAIQC2s8L/GAIAADMEAAAOAAAAAAAAAAAAAAAAAC4CAABkcnMvZTJvRG9jLnhtbFBLAQItABQA&#10;BgAIAAAAIQCHYFiF3wAAAAcBAAAPAAAAAAAAAAAAAAAAAHIEAABkcnMvZG93bnJldi54bWxQSwUG&#10;AAAAAAQABADzAAAAfgUAAAAA&#10;" filled="f" stroked="f" strokeweight=".5pt">
              <v:textbox>
                <w:txbxContent>
                  <w:p w14:paraId="59851B0D" w14:textId="7F429313" w:rsidR="0054452C" w:rsidRPr="00FC6403" w:rsidRDefault="0054452C" w:rsidP="0054452C">
                    <w:pPr>
                      <w:pStyle w:val="NoSpacing"/>
                      <w:spacing w:line="288" w:lineRule="auto"/>
                      <w:jc w:val="right"/>
                      <w:rPr>
                        <w:rFonts w:ascii="Bona Nova" w:hAnsi="Bona Nova" w:cs="Bona Nova"/>
                        <w:color w:val="E7D188"/>
                      </w:rPr>
                    </w:pPr>
                    <w:r w:rsidRPr="00FC6403">
                      <w:rPr>
                        <w:rFonts w:ascii="Bona Nova" w:hAnsi="Bona Nova" w:cs="Bona Nova"/>
                        <w:color w:val="E7D188"/>
                      </w:rPr>
                      <w:t>www.</w:t>
                    </w:r>
                    <w:r w:rsidR="00A3682D">
                      <w:rPr>
                        <w:rFonts w:ascii="Bona Nova" w:hAnsi="Bona Nova" w:cs="Bona Nova"/>
                        <w:color w:val="E7D188"/>
                      </w:rPr>
                      <w:t>consultoriachc.com</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9CCAF7" w14:textId="77777777" w:rsidR="00080B53" w:rsidRDefault="00080B53" w:rsidP="004D2193">
      <w:r>
        <w:separator/>
      </w:r>
    </w:p>
  </w:footnote>
  <w:footnote w:type="continuationSeparator" w:id="0">
    <w:p w14:paraId="739E9FFF" w14:textId="77777777" w:rsidR="00080B53" w:rsidRDefault="00080B53" w:rsidP="004D21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59891500"/>
      <w:docPartObj>
        <w:docPartGallery w:val="Page Numbers (Top of Page)"/>
        <w:docPartUnique/>
      </w:docPartObj>
    </w:sdtPr>
    <w:sdtEndPr>
      <w:rPr>
        <w:rStyle w:val="PageNumber"/>
      </w:rPr>
    </w:sdtEndPr>
    <w:sdtContent>
      <w:p w14:paraId="78DFDC71" w14:textId="1A171BCC" w:rsidR="00866539" w:rsidRDefault="00866539" w:rsidP="0044428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A64B64">
          <w:rPr>
            <w:rStyle w:val="PageNumber"/>
            <w:noProof/>
          </w:rPr>
          <w:t>1</w:t>
        </w:r>
        <w:r>
          <w:rPr>
            <w:rStyle w:val="PageNumber"/>
          </w:rPr>
          <w:fldChar w:fldCharType="end"/>
        </w:r>
      </w:p>
    </w:sdtContent>
  </w:sdt>
  <w:p w14:paraId="547CD561" w14:textId="763040BC" w:rsidR="00A756EC" w:rsidRDefault="009731E7" w:rsidP="00866539">
    <w:pPr>
      <w:pStyle w:val="Header"/>
      <w:ind w:right="360"/>
    </w:pPr>
    <w:r>
      <w:rPr>
        <w:noProof/>
      </w:rPr>
      <w:pict w14:anchorId="343052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92898" o:spid="_x0000_s1025" type="#_x0000_t75" alt="" style="position:absolute;left:0;text-align:left;margin-left:0;margin-top:0;width:707pt;height:1000pt;z-index:-251654656;mso-wrap-edited:f;mso-width-percent:0;mso-height-percent:0;mso-position-horizontal:center;mso-position-horizontal-relative:margin;mso-position-vertical:center;mso-position-vertical-relative:margin;mso-width-percent:0;mso-height-percent:0" o:allowincell="f">
          <v:imagedata r:id="rId1" o:title="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B4D939" w14:textId="113107B9" w:rsidR="00E010F7" w:rsidRDefault="00C96979" w:rsidP="00866539">
    <w:pPr>
      <w:ind w:right="360"/>
    </w:pPr>
    <w:r>
      <w:rPr>
        <w:noProof/>
      </w:rPr>
      <w:drawing>
        <wp:anchor distT="0" distB="0" distL="114300" distR="114300" simplePos="0" relativeHeight="251654656" behindDoc="1" locked="0" layoutInCell="1" allowOverlap="1" wp14:anchorId="2A059F36" wp14:editId="21020ADE">
          <wp:simplePos x="0" y="0"/>
          <wp:positionH relativeFrom="page">
            <wp:align>right</wp:align>
          </wp:positionH>
          <wp:positionV relativeFrom="paragraph">
            <wp:posOffset>-450215</wp:posOffset>
          </wp:positionV>
          <wp:extent cx="7943850" cy="10767060"/>
          <wp:effectExtent l="0" t="0" r="0" b="0"/>
          <wp:wrapNone/>
          <wp:docPr id="95" name="Picture 95" descr="Uma imagem contendo For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7" descr="Uma imagem contendo Forma&#10;&#10;Descrição gerada automaticamente"/>
                  <pic:cNvPicPr/>
                </pic:nvPicPr>
                <pic:blipFill rotWithShape="1">
                  <a:blip r:embed="rId1">
                    <a:extLst>
                      <a:ext uri="{28A0092B-C50C-407E-A947-70E740481C1C}">
                        <a14:useLocalDpi xmlns:a14="http://schemas.microsoft.com/office/drawing/2010/main" val="0"/>
                      </a:ext>
                    </a:extLst>
                  </a:blip>
                  <a:srcRect l="59" t="87" r="59" b="87"/>
                  <a:stretch/>
                </pic:blipFill>
                <pic:spPr bwMode="auto">
                  <a:xfrm>
                    <a:off x="0" y="0"/>
                    <a:ext cx="7943850" cy="10767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23E4F" w:rsidRPr="00D53617">
      <w:rPr>
        <w:noProof/>
      </w:rPr>
      <w:drawing>
        <wp:anchor distT="0" distB="0" distL="114300" distR="114300" simplePos="0" relativeHeight="251653632" behindDoc="0" locked="0" layoutInCell="1" allowOverlap="1" wp14:anchorId="32526AF1" wp14:editId="376B30DC">
          <wp:simplePos x="0" y="0"/>
          <wp:positionH relativeFrom="column">
            <wp:posOffset>1239520</wp:posOffset>
          </wp:positionH>
          <wp:positionV relativeFrom="paragraph">
            <wp:posOffset>3900187</wp:posOffset>
          </wp:positionV>
          <wp:extent cx="4967605" cy="5180965"/>
          <wp:effectExtent l="0" t="0" r="4445" b="635"/>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pic:cNvPicPr/>
                </pic:nvPicPr>
                <pic:blipFill rotWithShape="1">
                  <a:blip r:embed="rId2">
                    <a:alphaModFix amt="10000"/>
                    <a:extLst>
                      <a:ext uri="{28A0092B-C50C-407E-A947-70E740481C1C}">
                        <a14:useLocalDpi xmlns:a14="http://schemas.microsoft.com/office/drawing/2010/main" val="0"/>
                      </a:ext>
                    </a:extLst>
                  </a:blip>
                  <a:srcRect l="-1" r="-1"/>
                  <a:stretch/>
                </pic:blipFill>
                <pic:spPr>
                  <a:xfrm>
                    <a:off x="0" y="0"/>
                    <a:ext cx="4967605" cy="5180965"/>
                  </a:xfrm>
                  <a:prstGeom prst="rect">
                    <a:avLst/>
                  </a:prstGeom>
                  <a:noFill/>
                </pic:spPr>
              </pic:pic>
            </a:graphicData>
          </a:graphic>
          <wp14:sizeRelH relativeFrom="page">
            <wp14:pctWidth>0</wp14:pctWidth>
          </wp14:sizeRelH>
          <wp14:sizeRelV relativeFrom="page">
            <wp14:pctHeight>0</wp14:pctHeight>
          </wp14:sizeRelV>
        </wp:anchor>
      </w:drawing>
    </w:r>
    <w:r w:rsidR="00A4666F">
      <w:rPr>
        <w:noProof/>
      </w:rPr>
      <w:drawing>
        <wp:anchor distT="0" distB="0" distL="114300" distR="114300" simplePos="0" relativeHeight="251658752" behindDoc="0" locked="0" layoutInCell="1" allowOverlap="1" wp14:anchorId="7ABEDB53" wp14:editId="1BDB3CCA">
          <wp:simplePos x="0" y="0"/>
          <wp:positionH relativeFrom="margin">
            <wp:posOffset>1170940</wp:posOffset>
          </wp:positionH>
          <wp:positionV relativeFrom="paragraph">
            <wp:posOffset>-342917</wp:posOffset>
          </wp:positionV>
          <wp:extent cx="3058510" cy="461957"/>
          <wp:effectExtent l="0" t="0" r="0" b="0"/>
          <wp:wrapNone/>
          <wp:docPr id="94" name="Picture 94"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49" descr="Logo&#10;&#10;Description automatically generated with medium confidence"/>
                  <pic:cNvPicPr/>
                </pic:nvPicPr>
                <pic:blipFill>
                  <a:blip r:embed="rId3">
                    <a:extLst>
                      <a:ext uri="{28A0092B-C50C-407E-A947-70E740481C1C}">
                        <a14:useLocalDpi xmlns:a14="http://schemas.microsoft.com/office/drawing/2010/main" val="0"/>
                      </a:ext>
                    </a:extLst>
                  </a:blip>
                  <a:srcRect t="36574" b="36574"/>
                  <a:stretch>
                    <a:fillRect/>
                  </a:stretch>
                </pic:blipFill>
                <pic:spPr bwMode="auto">
                  <a:xfrm>
                    <a:off x="0" y="0"/>
                    <a:ext cx="3058510" cy="46195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2A678" w14:textId="1483F81E" w:rsidR="004327E5" w:rsidRDefault="00BE797C">
    <w:pPr>
      <w:pStyle w:val="Header"/>
    </w:pPr>
    <w:r>
      <w:rPr>
        <w:noProof/>
      </w:rPr>
      <w:drawing>
        <wp:anchor distT="0" distB="0" distL="114300" distR="114300" simplePos="0" relativeHeight="251655680" behindDoc="1" locked="0" layoutInCell="1" allowOverlap="1" wp14:anchorId="4A69BE02" wp14:editId="25D25CE2">
          <wp:simplePos x="0" y="0"/>
          <wp:positionH relativeFrom="page">
            <wp:align>right</wp:align>
          </wp:positionH>
          <wp:positionV relativeFrom="paragraph">
            <wp:posOffset>-450215</wp:posOffset>
          </wp:positionV>
          <wp:extent cx="7548773" cy="10783536"/>
          <wp:effectExtent l="0" t="0" r="0" b="0"/>
          <wp:wrapNone/>
          <wp:docPr id="96" name="Picture 96" descr="Uma imagem contendo For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7" descr="Uma imagem contendo Forma&#10;&#10;Descrição gerada automaticamente"/>
                  <pic:cNvPicPr/>
                </pic:nvPicPr>
                <pic:blipFill rotWithShape="1">
                  <a:blip r:embed="rId1">
                    <a:extLst>
                      <a:ext uri="{28A0092B-C50C-407E-A947-70E740481C1C}">
                        <a14:useLocalDpi xmlns:a14="http://schemas.microsoft.com/office/drawing/2010/main" val="0"/>
                      </a:ext>
                    </a:extLst>
                  </a:blip>
                  <a:srcRect l="59" t="87" r="59" b="87"/>
                  <a:stretch/>
                </pic:blipFill>
                <pic:spPr bwMode="auto">
                  <a:xfrm>
                    <a:off x="0" y="0"/>
                    <a:ext cx="7548773" cy="1078353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75AC9" w:rsidRPr="00D53617">
      <w:rPr>
        <w:noProof/>
      </w:rPr>
      <w:drawing>
        <wp:anchor distT="0" distB="0" distL="114300" distR="114300" simplePos="0" relativeHeight="251660800" behindDoc="0" locked="0" layoutInCell="1" allowOverlap="1" wp14:anchorId="44B6BEA2" wp14:editId="583C6BE9">
          <wp:simplePos x="0" y="0"/>
          <wp:positionH relativeFrom="column">
            <wp:posOffset>1250315</wp:posOffset>
          </wp:positionH>
          <wp:positionV relativeFrom="paragraph">
            <wp:posOffset>3896377</wp:posOffset>
          </wp:positionV>
          <wp:extent cx="4968110" cy="5181367"/>
          <wp:effectExtent l="0" t="0" r="4445" b="635"/>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pic:cNvPicPr/>
                </pic:nvPicPr>
                <pic:blipFill rotWithShape="1">
                  <a:blip r:embed="rId2">
                    <a:alphaModFix amt="10000"/>
                    <a:extLst>
                      <a:ext uri="{28A0092B-C50C-407E-A947-70E740481C1C}">
                        <a14:useLocalDpi xmlns:a14="http://schemas.microsoft.com/office/drawing/2010/main" val="0"/>
                      </a:ext>
                    </a:extLst>
                  </a:blip>
                  <a:srcRect l="-1" r="-1"/>
                  <a:stretch/>
                </pic:blipFill>
                <pic:spPr>
                  <a:xfrm>
                    <a:off x="0" y="0"/>
                    <a:ext cx="4968110" cy="5181367"/>
                  </a:xfrm>
                  <a:prstGeom prst="rect">
                    <a:avLst/>
                  </a:prstGeom>
                  <a:noFill/>
                </pic:spPr>
              </pic:pic>
            </a:graphicData>
          </a:graphic>
          <wp14:sizeRelH relativeFrom="page">
            <wp14:pctWidth>0</wp14:pctWidth>
          </wp14:sizeRelH>
          <wp14:sizeRelV relativeFrom="page">
            <wp14:pctHeight>0</wp14:pctHeight>
          </wp14:sizeRelV>
        </wp:anchor>
      </w:drawing>
    </w:r>
    <w:r w:rsidR="00C036C8">
      <w:rPr>
        <w:noProof/>
      </w:rPr>
      <w:drawing>
        <wp:anchor distT="0" distB="0" distL="114300" distR="114300" simplePos="0" relativeHeight="251656704" behindDoc="0" locked="0" layoutInCell="1" allowOverlap="1" wp14:anchorId="30FD85B0" wp14:editId="4488C325">
          <wp:simplePos x="0" y="0"/>
          <wp:positionH relativeFrom="margin">
            <wp:align>center</wp:align>
          </wp:positionH>
          <wp:positionV relativeFrom="paragraph">
            <wp:posOffset>-327660</wp:posOffset>
          </wp:positionV>
          <wp:extent cx="3058510" cy="461957"/>
          <wp:effectExtent l="0" t="0" r="0" b="0"/>
          <wp:wrapNone/>
          <wp:docPr id="98" name="Picture 98"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49" descr="Logo&#10;&#10;Description automatically generated with medium confidence"/>
                  <pic:cNvPicPr/>
                </pic:nvPicPr>
                <pic:blipFill>
                  <a:blip r:embed="rId3">
                    <a:extLst>
                      <a:ext uri="{28A0092B-C50C-407E-A947-70E740481C1C}">
                        <a14:useLocalDpi xmlns:a14="http://schemas.microsoft.com/office/drawing/2010/main" val="0"/>
                      </a:ext>
                    </a:extLst>
                  </a:blip>
                  <a:srcRect t="36574" b="36574"/>
                  <a:stretch>
                    <a:fillRect/>
                  </a:stretch>
                </pic:blipFill>
                <pic:spPr bwMode="auto">
                  <a:xfrm>
                    <a:off x="0" y="0"/>
                    <a:ext cx="3058510" cy="46195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E8296C"/>
    <w:multiLevelType w:val="hybridMultilevel"/>
    <w:tmpl w:val="9D2E8CEA"/>
    <w:lvl w:ilvl="0" w:tplc="04160001">
      <w:start w:val="1"/>
      <w:numFmt w:val="bullet"/>
      <w:lvlText w:val=""/>
      <w:lvlJc w:val="left"/>
      <w:pPr>
        <w:ind w:left="1222" w:hanging="360"/>
      </w:pPr>
      <w:rPr>
        <w:rFonts w:ascii="Symbol" w:hAnsi="Symbol" w:hint="default"/>
      </w:rPr>
    </w:lvl>
    <w:lvl w:ilvl="1" w:tplc="04160003" w:tentative="1">
      <w:start w:val="1"/>
      <w:numFmt w:val="bullet"/>
      <w:lvlText w:val="o"/>
      <w:lvlJc w:val="left"/>
      <w:pPr>
        <w:ind w:left="1942" w:hanging="360"/>
      </w:pPr>
      <w:rPr>
        <w:rFonts w:ascii="Courier New" w:hAnsi="Courier New" w:hint="default"/>
      </w:rPr>
    </w:lvl>
    <w:lvl w:ilvl="2" w:tplc="04160005" w:tentative="1">
      <w:start w:val="1"/>
      <w:numFmt w:val="bullet"/>
      <w:lvlText w:val=""/>
      <w:lvlJc w:val="left"/>
      <w:pPr>
        <w:ind w:left="2662" w:hanging="360"/>
      </w:pPr>
      <w:rPr>
        <w:rFonts w:ascii="Wingdings" w:hAnsi="Wingdings" w:hint="default"/>
      </w:rPr>
    </w:lvl>
    <w:lvl w:ilvl="3" w:tplc="04160001" w:tentative="1">
      <w:start w:val="1"/>
      <w:numFmt w:val="bullet"/>
      <w:lvlText w:val=""/>
      <w:lvlJc w:val="left"/>
      <w:pPr>
        <w:ind w:left="3382" w:hanging="360"/>
      </w:pPr>
      <w:rPr>
        <w:rFonts w:ascii="Symbol" w:hAnsi="Symbol" w:hint="default"/>
      </w:rPr>
    </w:lvl>
    <w:lvl w:ilvl="4" w:tplc="04160003" w:tentative="1">
      <w:start w:val="1"/>
      <w:numFmt w:val="bullet"/>
      <w:lvlText w:val="o"/>
      <w:lvlJc w:val="left"/>
      <w:pPr>
        <w:ind w:left="4102" w:hanging="360"/>
      </w:pPr>
      <w:rPr>
        <w:rFonts w:ascii="Courier New" w:hAnsi="Courier New" w:hint="default"/>
      </w:rPr>
    </w:lvl>
    <w:lvl w:ilvl="5" w:tplc="04160005" w:tentative="1">
      <w:start w:val="1"/>
      <w:numFmt w:val="bullet"/>
      <w:lvlText w:val=""/>
      <w:lvlJc w:val="left"/>
      <w:pPr>
        <w:ind w:left="4822" w:hanging="360"/>
      </w:pPr>
      <w:rPr>
        <w:rFonts w:ascii="Wingdings" w:hAnsi="Wingdings" w:hint="default"/>
      </w:rPr>
    </w:lvl>
    <w:lvl w:ilvl="6" w:tplc="04160001" w:tentative="1">
      <w:start w:val="1"/>
      <w:numFmt w:val="bullet"/>
      <w:lvlText w:val=""/>
      <w:lvlJc w:val="left"/>
      <w:pPr>
        <w:ind w:left="5542" w:hanging="360"/>
      </w:pPr>
      <w:rPr>
        <w:rFonts w:ascii="Symbol" w:hAnsi="Symbol" w:hint="default"/>
      </w:rPr>
    </w:lvl>
    <w:lvl w:ilvl="7" w:tplc="04160003" w:tentative="1">
      <w:start w:val="1"/>
      <w:numFmt w:val="bullet"/>
      <w:lvlText w:val="o"/>
      <w:lvlJc w:val="left"/>
      <w:pPr>
        <w:ind w:left="6262" w:hanging="360"/>
      </w:pPr>
      <w:rPr>
        <w:rFonts w:ascii="Courier New" w:hAnsi="Courier New" w:hint="default"/>
      </w:rPr>
    </w:lvl>
    <w:lvl w:ilvl="8" w:tplc="04160005" w:tentative="1">
      <w:start w:val="1"/>
      <w:numFmt w:val="bullet"/>
      <w:lvlText w:val=""/>
      <w:lvlJc w:val="left"/>
      <w:pPr>
        <w:ind w:left="6982" w:hanging="360"/>
      </w:pPr>
      <w:rPr>
        <w:rFonts w:ascii="Wingdings" w:hAnsi="Wingdings" w:hint="default"/>
      </w:rPr>
    </w:lvl>
  </w:abstractNum>
  <w:abstractNum w:abstractNumId="1" w15:restartNumberingAfterBreak="0">
    <w:nsid w:val="24BD2189"/>
    <w:multiLevelType w:val="multilevel"/>
    <w:tmpl w:val="026E9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6C83195"/>
    <w:multiLevelType w:val="hybridMultilevel"/>
    <w:tmpl w:val="0A8E2C86"/>
    <w:lvl w:ilvl="0" w:tplc="86501EC6">
      <w:start w:val="1"/>
      <w:numFmt w:val="lowerLetter"/>
      <w:lvlText w:val="%1)"/>
      <w:lvlJc w:val="left"/>
      <w:pPr>
        <w:ind w:left="720" w:hanging="360"/>
      </w:pPr>
      <w:rPr>
        <w:rFonts w:eastAsiaTheme="minorEastAsia"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E233588"/>
    <w:multiLevelType w:val="hybridMultilevel"/>
    <w:tmpl w:val="B8482D52"/>
    <w:lvl w:ilvl="0" w:tplc="2F369CDC">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D7915B7"/>
    <w:multiLevelType w:val="hybridMultilevel"/>
    <w:tmpl w:val="69426A2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2A57A64"/>
    <w:multiLevelType w:val="multilevel"/>
    <w:tmpl w:val="2E78222C"/>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2070612100">
    <w:abstractNumId w:val="5"/>
  </w:num>
  <w:num w:numId="2" w16cid:durableId="584147039">
    <w:abstractNumId w:val="1"/>
  </w:num>
  <w:num w:numId="3" w16cid:durableId="1713310607">
    <w:abstractNumId w:val="0"/>
  </w:num>
  <w:num w:numId="4" w16cid:durableId="1120028956">
    <w:abstractNumId w:val="2"/>
  </w:num>
  <w:num w:numId="5" w16cid:durableId="756096207">
    <w:abstractNumId w:val="3"/>
  </w:num>
  <w:num w:numId="6" w16cid:durableId="160407406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41E2"/>
    <w:rsid w:val="00006C43"/>
    <w:rsid w:val="0005035F"/>
    <w:rsid w:val="000608DD"/>
    <w:rsid w:val="000713F5"/>
    <w:rsid w:val="000724E9"/>
    <w:rsid w:val="00080B53"/>
    <w:rsid w:val="000974EC"/>
    <w:rsid w:val="000C35AE"/>
    <w:rsid w:val="000D2AC9"/>
    <w:rsid w:val="000D4DE4"/>
    <w:rsid w:val="000F4ABA"/>
    <w:rsid w:val="00124820"/>
    <w:rsid w:val="00134137"/>
    <w:rsid w:val="00143F7C"/>
    <w:rsid w:val="00180F09"/>
    <w:rsid w:val="001854C8"/>
    <w:rsid w:val="001A2C53"/>
    <w:rsid w:val="001B593B"/>
    <w:rsid w:val="001E22FC"/>
    <w:rsid w:val="001F0256"/>
    <w:rsid w:val="001F0C29"/>
    <w:rsid w:val="001F0F36"/>
    <w:rsid w:val="001F4648"/>
    <w:rsid w:val="002206C9"/>
    <w:rsid w:val="00223E4F"/>
    <w:rsid w:val="00244BE5"/>
    <w:rsid w:val="00245E73"/>
    <w:rsid w:val="00246718"/>
    <w:rsid w:val="002539B1"/>
    <w:rsid w:val="0025521D"/>
    <w:rsid w:val="0027142F"/>
    <w:rsid w:val="0027328E"/>
    <w:rsid w:val="00294A05"/>
    <w:rsid w:val="002A7B47"/>
    <w:rsid w:val="002C08A3"/>
    <w:rsid w:val="002C3239"/>
    <w:rsid w:val="002C6A0E"/>
    <w:rsid w:val="002D2503"/>
    <w:rsid w:val="002E279F"/>
    <w:rsid w:val="00302005"/>
    <w:rsid w:val="00305A52"/>
    <w:rsid w:val="00315C75"/>
    <w:rsid w:val="003346F3"/>
    <w:rsid w:val="003474DC"/>
    <w:rsid w:val="00366A9B"/>
    <w:rsid w:val="00367C2B"/>
    <w:rsid w:val="003726D3"/>
    <w:rsid w:val="00383210"/>
    <w:rsid w:val="00390B22"/>
    <w:rsid w:val="003B42F4"/>
    <w:rsid w:val="003B6073"/>
    <w:rsid w:val="003C4250"/>
    <w:rsid w:val="003E7587"/>
    <w:rsid w:val="003E7645"/>
    <w:rsid w:val="004017D3"/>
    <w:rsid w:val="00414903"/>
    <w:rsid w:val="00424DA3"/>
    <w:rsid w:val="004327E5"/>
    <w:rsid w:val="00447492"/>
    <w:rsid w:val="0045047D"/>
    <w:rsid w:val="00465A38"/>
    <w:rsid w:val="00472DBA"/>
    <w:rsid w:val="00475D27"/>
    <w:rsid w:val="004D2193"/>
    <w:rsid w:val="004D3CE2"/>
    <w:rsid w:val="004E34F4"/>
    <w:rsid w:val="0050138C"/>
    <w:rsid w:val="0050382E"/>
    <w:rsid w:val="00525A1A"/>
    <w:rsid w:val="00533009"/>
    <w:rsid w:val="005437CB"/>
    <w:rsid w:val="0054452C"/>
    <w:rsid w:val="00550038"/>
    <w:rsid w:val="00553862"/>
    <w:rsid w:val="00555019"/>
    <w:rsid w:val="00562414"/>
    <w:rsid w:val="00563F7A"/>
    <w:rsid w:val="00575C4C"/>
    <w:rsid w:val="005838F6"/>
    <w:rsid w:val="0058422E"/>
    <w:rsid w:val="005C7A11"/>
    <w:rsid w:val="005D5CB0"/>
    <w:rsid w:val="005F63C2"/>
    <w:rsid w:val="00600FDA"/>
    <w:rsid w:val="00605765"/>
    <w:rsid w:val="00614BD3"/>
    <w:rsid w:val="00671D0B"/>
    <w:rsid w:val="006A085B"/>
    <w:rsid w:val="006B328A"/>
    <w:rsid w:val="006B4D62"/>
    <w:rsid w:val="006D4DE9"/>
    <w:rsid w:val="006E4A58"/>
    <w:rsid w:val="006F38A0"/>
    <w:rsid w:val="007234DF"/>
    <w:rsid w:val="00730DA5"/>
    <w:rsid w:val="0073537C"/>
    <w:rsid w:val="00750D39"/>
    <w:rsid w:val="00752059"/>
    <w:rsid w:val="00754435"/>
    <w:rsid w:val="00757DFB"/>
    <w:rsid w:val="00765C50"/>
    <w:rsid w:val="00783126"/>
    <w:rsid w:val="00784537"/>
    <w:rsid w:val="00795312"/>
    <w:rsid w:val="007A344E"/>
    <w:rsid w:val="007A68E2"/>
    <w:rsid w:val="007B2B89"/>
    <w:rsid w:val="007C4B0E"/>
    <w:rsid w:val="007E6C30"/>
    <w:rsid w:val="00804AC7"/>
    <w:rsid w:val="008131C4"/>
    <w:rsid w:val="00824262"/>
    <w:rsid w:val="00842BC9"/>
    <w:rsid w:val="0084376E"/>
    <w:rsid w:val="008615C3"/>
    <w:rsid w:val="00862BAF"/>
    <w:rsid w:val="00866539"/>
    <w:rsid w:val="008A007B"/>
    <w:rsid w:val="008A44DA"/>
    <w:rsid w:val="008D4298"/>
    <w:rsid w:val="00903689"/>
    <w:rsid w:val="009041E2"/>
    <w:rsid w:val="00905371"/>
    <w:rsid w:val="00906FE1"/>
    <w:rsid w:val="009110B4"/>
    <w:rsid w:val="0091331F"/>
    <w:rsid w:val="009171A8"/>
    <w:rsid w:val="00921B19"/>
    <w:rsid w:val="00930B67"/>
    <w:rsid w:val="009406AD"/>
    <w:rsid w:val="00951B9F"/>
    <w:rsid w:val="009731E7"/>
    <w:rsid w:val="00974C35"/>
    <w:rsid w:val="0098706C"/>
    <w:rsid w:val="009D2E35"/>
    <w:rsid w:val="009D4FC5"/>
    <w:rsid w:val="009E6D4D"/>
    <w:rsid w:val="009F219B"/>
    <w:rsid w:val="009F24E1"/>
    <w:rsid w:val="009F57BE"/>
    <w:rsid w:val="00A03CF9"/>
    <w:rsid w:val="00A366B4"/>
    <w:rsid w:val="00A3682D"/>
    <w:rsid w:val="00A4666F"/>
    <w:rsid w:val="00A64B64"/>
    <w:rsid w:val="00A6715F"/>
    <w:rsid w:val="00A756EC"/>
    <w:rsid w:val="00A75AC9"/>
    <w:rsid w:val="00A75E78"/>
    <w:rsid w:val="00A86867"/>
    <w:rsid w:val="00A901A2"/>
    <w:rsid w:val="00AA0FE9"/>
    <w:rsid w:val="00AA3323"/>
    <w:rsid w:val="00AB7AA7"/>
    <w:rsid w:val="00AC3F12"/>
    <w:rsid w:val="00AD49EC"/>
    <w:rsid w:val="00AD6754"/>
    <w:rsid w:val="00AE6BE5"/>
    <w:rsid w:val="00B11584"/>
    <w:rsid w:val="00B16082"/>
    <w:rsid w:val="00B233E6"/>
    <w:rsid w:val="00B33308"/>
    <w:rsid w:val="00B53728"/>
    <w:rsid w:val="00B62C1A"/>
    <w:rsid w:val="00BA30AF"/>
    <w:rsid w:val="00BC1F72"/>
    <w:rsid w:val="00BC1FF0"/>
    <w:rsid w:val="00BE797C"/>
    <w:rsid w:val="00BF5584"/>
    <w:rsid w:val="00BF5CE2"/>
    <w:rsid w:val="00C036C8"/>
    <w:rsid w:val="00C04B9B"/>
    <w:rsid w:val="00C244DA"/>
    <w:rsid w:val="00C25F4C"/>
    <w:rsid w:val="00C47CB9"/>
    <w:rsid w:val="00C51539"/>
    <w:rsid w:val="00C64BFC"/>
    <w:rsid w:val="00C828E6"/>
    <w:rsid w:val="00C96979"/>
    <w:rsid w:val="00CD68F7"/>
    <w:rsid w:val="00CE11C8"/>
    <w:rsid w:val="00CE5792"/>
    <w:rsid w:val="00D00AD4"/>
    <w:rsid w:val="00D103A0"/>
    <w:rsid w:val="00D30957"/>
    <w:rsid w:val="00D50FB8"/>
    <w:rsid w:val="00D53617"/>
    <w:rsid w:val="00D64B8C"/>
    <w:rsid w:val="00D66D87"/>
    <w:rsid w:val="00D67F9C"/>
    <w:rsid w:val="00D750F7"/>
    <w:rsid w:val="00D75397"/>
    <w:rsid w:val="00D84797"/>
    <w:rsid w:val="00DA45AB"/>
    <w:rsid w:val="00DC54A2"/>
    <w:rsid w:val="00DC6185"/>
    <w:rsid w:val="00DD31AB"/>
    <w:rsid w:val="00DF49AB"/>
    <w:rsid w:val="00E010F7"/>
    <w:rsid w:val="00E14BBA"/>
    <w:rsid w:val="00E23538"/>
    <w:rsid w:val="00E24CE6"/>
    <w:rsid w:val="00E4535C"/>
    <w:rsid w:val="00E50E75"/>
    <w:rsid w:val="00E53599"/>
    <w:rsid w:val="00E63FE7"/>
    <w:rsid w:val="00E64F87"/>
    <w:rsid w:val="00E705F9"/>
    <w:rsid w:val="00E73CDB"/>
    <w:rsid w:val="00EB300B"/>
    <w:rsid w:val="00EB3977"/>
    <w:rsid w:val="00EC6EA2"/>
    <w:rsid w:val="00ED2A53"/>
    <w:rsid w:val="00ED6DB4"/>
    <w:rsid w:val="00EE190A"/>
    <w:rsid w:val="00EF7562"/>
    <w:rsid w:val="00F21524"/>
    <w:rsid w:val="00F261B1"/>
    <w:rsid w:val="00F26376"/>
    <w:rsid w:val="00F26DD1"/>
    <w:rsid w:val="00F317A8"/>
    <w:rsid w:val="00F40EFF"/>
    <w:rsid w:val="00F42CE1"/>
    <w:rsid w:val="00FC529F"/>
    <w:rsid w:val="00FC59A8"/>
    <w:rsid w:val="00FC6403"/>
    <w:rsid w:val="00FD4F45"/>
    <w:rsid w:val="00FE02CF"/>
    <w:rsid w:val="00FF516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2DE490"/>
  <w15:chartTrackingRefBased/>
  <w15:docId w15:val="{3EDC6910-A352-2F41-B1A7-9CC34E56A0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pt-B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5F4C"/>
    <w:pPr>
      <w:spacing w:before="120" w:after="120" w:line="360" w:lineRule="auto"/>
      <w:ind w:left="357"/>
      <w:jc w:val="both"/>
    </w:pPr>
    <w:rPr>
      <w:rFonts w:ascii="Arial" w:eastAsia="Times New Roman" w:hAnsi="Arial" w:cs="Calibri (Corpo)"/>
      <w:lang w:eastAsia="pt-BR"/>
    </w:rPr>
  </w:style>
  <w:style w:type="paragraph" w:styleId="Heading1">
    <w:name w:val="heading 1"/>
    <w:basedOn w:val="Normal"/>
    <w:next w:val="Normal"/>
    <w:link w:val="Heading1Char"/>
    <w:uiPriority w:val="9"/>
    <w:qFormat/>
    <w:rsid w:val="00315C75"/>
    <w:pPr>
      <w:keepNext/>
      <w:keepLines/>
      <w:numPr>
        <w:numId w:val="1"/>
      </w:numPr>
      <w:spacing w:before="240" w:line="240" w:lineRule="auto"/>
      <w:contextualSpacing/>
      <w:jc w:val="left"/>
      <w:outlineLvl w:val="0"/>
    </w:pPr>
    <w:rPr>
      <w:rFonts w:eastAsiaTheme="majorEastAsia" w:cs="Times New Roman (Títulos CS)"/>
      <w:b/>
      <w:caps/>
      <w:color w:val="2F5496" w:themeColor="accent1" w:themeShade="BF"/>
      <w:sz w:val="32"/>
      <w:szCs w:val="32"/>
    </w:rPr>
  </w:style>
  <w:style w:type="paragraph" w:styleId="Heading2">
    <w:name w:val="heading 2"/>
    <w:basedOn w:val="Heading1"/>
    <w:next w:val="Normal"/>
    <w:link w:val="Heading2Char"/>
    <w:uiPriority w:val="9"/>
    <w:unhideWhenUsed/>
    <w:qFormat/>
    <w:rsid w:val="003726D3"/>
    <w:pPr>
      <w:numPr>
        <w:ilvl w:val="1"/>
      </w:numPr>
      <w:spacing w:before="40" w:after="0"/>
      <w:ind w:left="1140"/>
      <w:outlineLvl w:val="1"/>
    </w:pPr>
    <w:rPr>
      <w:rFonts w:cs="Bona Nova"/>
      <w:sz w:val="26"/>
      <w:szCs w:val="26"/>
    </w:rPr>
  </w:style>
  <w:style w:type="paragraph" w:styleId="Heading3">
    <w:name w:val="heading 3"/>
    <w:basedOn w:val="Heading2"/>
    <w:next w:val="Normal"/>
    <w:link w:val="Heading3Char"/>
    <w:uiPriority w:val="9"/>
    <w:unhideWhenUsed/>
    <w:qFormat/>
    <w:rsid w:val="00315C75"/>
    <w:pPr>
      <w:numPr>
        <w:ilvl w:val="2"/>
      </w:numPr>
      <w:ind w:left="1728"/>
      <w:outlineLvl w:val="2"/>
    </w:pPr>
    <w:rPr>
      <w:rFonts w:cstheme="minorHAnsi"/>
      <w:b w:val="0"/>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041E2"/>
    <w:pPr>
      <w:tabs>
        <w:tab w:val="center" w:pos="4252"/>
        <w:tab w:val="right" w:pos="8504"/>
      </w:tabs>
    </w:pPr>
  </w:style>
  <w:style w:type="character" w:customStyle="1" w:styleId="HeaderChar">
    <w:name w:val="Header Char"/>
    <w:basedOn w:val="DefaultParagraphFont"/>
    <w:link w:val="Header"/>
    <w:uiPriority w:val="99"/>
    <w:rsid w:val="009041E2"/>
  </w:style>
  <w:style w:type="paragraph" w:styleId="Footer">
    <w:name w:val="footer"/>
    <w:basedOn w:val="Normal"/>
    <w:link w:val="FooterChar"/>
    <w:uiPriority w:val="99"/>
    <w:unhideWhenUsed/>
    <w:rsid w:val="009041E2"/>
    <w:pPr>
      <w:tabs>
        <w:tab w:val="center" w:pos="4252"/>
        <w:tab w:val="right" w:pos="8504"/>
      </w:tabs>
    </w:pPr>
  </w:style>
  <w:style w:type="character" w:customStyle="1" w:styleId="FooterChar">
    <w:name w:val="Footer Char"/>
    <w:basedOn w:val="DefaultParagraphFont"/>
    <w:link w:val="Footer"/>
    <w:uiPriority w:val="99"/>
    <w:rsid w:val="009041E2"/>
  </w:style>
  <w:style w:type="paragraph" w:styleId="NoSpacing">
    <w:name w:val="No Spacing"/>
    <w:uiPriority w:val="1"/>
    <w:qFormat/>
    <w:rsid w:val="00E010F7"/>
    <w:rPr>
      <w:rFonts w:eastAsiaTheme="minorEastAsia"/>
      <w:sz w:val="22"/>
      <w:szCs w:val="22"/>
      <w:lang w:val="en-US" w:eastAsia="zh-CN"/>
    </w:rPr>
  </w:style>
  <w:style w:type="character" w:customStyle="1" w:styleId="Heading1Char">
    <w:name w:val="Heading 1 Char"/>
    <w:basedOn w:val="DefaultParagraphFont"/>
    <w:link w:val="Heading1"/>
    <w:uiPriority w:val="9"/>
    <w:rsid w:val="00315C75"/>
    <w:rPr>
      <w:rFonts w:ascii="Arial" w:eastAsiaTheme="majorEastAsia" w:hAnsi="Arial" w:cs="Times New Roman (Títulos CS)"/>
      <w:b/>
      <w:caps/>
      <w:color w:val="2F5496" w:themeColor="accent1" w:themeShade="BF"/>
      <w:sz w:val="32"/>
      <w:szCs w:val="32"/>
      <w:lang w:eastAsia="pt-BR"/>
    </w:rPr>
  </w:style>
  <w:style w:type="paragraph" w:styleId="NormalWeb">
    <w:name w:val="Normal (Web)"/>
    <w:basedOn w:val="Normal"/>
    <w:uiPriority w:val="99"/>
    <w:semiHidden/>
    <w:unhideWhenUsed/>
    <w:rsid w:val="00F317A8"/>
    <w:rPr>
      <w:rFonts w:ascii="Times New Roman" w:hAnsi="Times New Roman" w:cs="Times New Roman"/>
    </w:rPr>
  </w:style>
  <w:style w:type="paragraph" w:styleId="ListParagraph">
    <w:name w:val="List Paragraph"/>
    <w:basedOn w:val="Normal"/>
    <w:uiPriority w:val="34"/>
    <w:qFormat/>
    <w:rsid w:val="004D2193"/>
    <w:pPr>
      <w:ind w:left="720"/>
      <w:contextualSpacing/>
    </w:pPr>
  </w:style>
  <w:style w:type="character" w:customStyle="1" w:styleId="Heading2Char">
    <w:name w:val="Heading 2 Char"/>
    <w:basedOn w:val="DefaultParagraphFont"/>
    <w:link w:val="Heading2"/>
    <w:uiPriority w:val="9"/>
    <w:rsid w:val="003726D3"/>
    <w:rPr>
      <w:rFonts w:ascii="Bona Nova" w:eastAsiaTheme="majorEastAsia" w:hAnsi="Bona Nova" w:cs="Bona Nova"/>
      <w:b/>
      <w:caps/>
      <w:color w:val="2F5496" w:themeColor="accent1" w:themeShade="BF"/>
      <w:sz w:val="26"/>
      <w:szCs w:val="26"/>
      <w:lang w:eastAsia="pt-BR"/>
    </w:rPr>
  </w:style>
  <w:style w:type="character" w:customStyle="1" w:styleId="Heading3Char">
    <w:name w:val="Heading 3 Char"/>
    <w:basedOn w:val="DefaultParagraphFont"/>
    <w:link w:val="Heading3"/>
    <w:uiPriority w:val="9"/>
    <w:rsid w:val="00315C75"/>
    <w:rPr>
      <w:rFonts w:ascii="Arial" w:eastAsiaTheme="majorEastAsia" w:hAnsi="Arial" w:cstheme="minorHAnsi"/>
      <w:bCs/>
      <w:caps/>
      <w:color w:val="2F5496" w:themeColor="accent1" w:themeShade="BF"/>
      <w:sz w:val="26"/>
      <w:szCs w:val="26"/>
      <w:lang w:eastAsia="pt-BR"/>
    </w:rPr>
  </w:style>
  <w:style w:type="character" w:styleId="Hyperlink">
    <w:name w:val="Hyperlink"/>
    <w:basedOn w:val="DefaultParagraphFont"/>
    <w:uiPriority w:val="99"/>
    <w:unhideWhenUsed/>
    <w:rsid w:val="001F0256"/>
    <w:rPr>
      <w:color w:val="0563C1" w:themeColor="hyperlink"/>
      <w:u w:val="single"/>
    </w:rPr>
  </w:style>
  <w:style w:type="character" w:styleId="UnresolvedMention">
    <w:name w:val="Unresolved Mention"/>
    <w:basedOn w:val="DefaultParagraphFont"/>
    <w:uiPriority w:val="99"/>
    <w:semiHidden/>
    <w:unhideWhenUsed/>
    <w:rsid w:val="001F0256"/>
    <w:rPr>
      <w:color w:val="605E5C"/>
      <w:shd w:val="clear" w:color="auto" w:fill="E1DFDD"/>
    </w:rPr>
  </w:style>
  <w:style w:type="character" w:styleId="PageNumber">
    <w:name w:val="page number"/>
    <w:basedOn w:val="DefaultParagraphFont"/>
    <w:uiPriority w:val="99"/>
    <w:semiHidden/>
    <w:unhideWhenUsed/>
    <w:rsid w:val="008665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499473">
      <w:bodyDiv w:val="1"/>
      <w:marLeft w:val="0"/>
      <w:marRight w:val="0"/>
      <w:marTop w:val="0"/>
      <w:marBottom w:val="0"/>
      <w:divBdr>
        <w:top w:val="none" w:sz="0" w:space="0" w:color="auto"/>
        <w:left w:val="none" w:sz="0" w:space="0" w:color="auto"/>
        <w:bottom w:val="none" w:sz="0" w:space="0" w:color="auto"/>
        <w:right w:val="none" w:sz="0" w:space="0" w:color="auto"/>
      </w:divBdr>
      <w:divsChild>
        <w:div w:id="1219510797">
          <w:marLeft w:val="0"/>
          <w:marRight w:val="0"/>
          <w:marTop w:val="0"/>
          <w:marBottom w:val="0"/>
          <w:divBdr>
            <w:top w:val="none" w:sz="0" w:space="0" w:color="auto"/>
            <w:left w:val="none" w:sz="0" w:space="0" w:color="auto"/>
            <w:bottom w:val="none" w:sz="0" w:space="0" w:color="auto"/>
            <w:right w:val="none" w:sz="0" w:space="0" w:color="auto"/>
          </w:divBdr>
          <w:divsChild>
            <w:div w:id="1355113154">
              <w:marLeft w:val="0"/>
              <w:marRight w:val="0"/>
              <w:marTop w:val="0"/>
              <w:marBottom w:val="0"/>
              <w:divBdr>
                <w:top w:val="none" w:sz="0" w:space="0" w:color="auto"/>
                <w:left w:val="none" w:sz="0" w:space="0" w:color="auto"/>
                <w:bottom w:val="none" w:sz="0" w:space="0" w:color="auto"/>
                <w:right w:val="none" w:sz="0" w:space="0" w:color="auto"/>
              </w:divBdr>
              <w:divsChild>
                <w:div w:id="847793997">
                  <w:marLeft w:val="0"/>
                  <w:marRight w:val="0"/>
                  <w:marTop w:val="0"/>
                  <w:marBottom w:val="0"/>
                  <w:divBdr>
                    <w:top w:val="none" w:sz="0" w:space="0" w:color="auto"/>
                    <w:left w:val="none" w:sz="0" w:space="0" w:color="auto"/>
                    <w:bottom w:val="none" w:sz="0" w:space="0" w:color="auto"/>
                    <w:right w:val="none" w:sz="0" w:space="0" w:color="auto"/>
                  </w:divBdr>
                  <w:divsChild>
                    <w:div w:id="69246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6694567">
      <w:bodyDiv w:val="1"/>
      <w:marLeft w:val="0"/>
      <w:marRight w:val="0"/>
      <w:marTop w:val="0"/>
      <w:marBottom w:val="0"/>
      <w:divBdr>
        <w:top w:val="none" w:sz="0" w:space="0" w:color="auto"/>
        <w:left w:val="none" w:sz="0" w:space="0" w:color="auto"/>
        <w:bottom w:val="none" w:sz="0" w:space="0" w:color="auto"/>
        <w:right w:val="none" w:sz="0" w:space="0" w:color="auto"/>
      </w:divBdr>
      <w:divsChild>
        <w:div w:id="1656956127">
          <w:marLeft w:val="0"/>
          <w:marRight w:val="0"/>
          <w:marTop w:val="0"/>
          <w:marBottom w:val="0"/>
          <w:divBdr>
            <w:top w:val="none" w:sz="0" w:space="0" w:color="auto"/>
            <w:left w:val="none" w:sz="0" w:space="0" w:color="auto"/>
            <w:bottom w:val="none" w:sz="0" w:space="0" w:color="auto"/>
            <w:right w:val="none" w:sz="0" w:space="0" w:color="auto"/>
          </w:divBdr>
          <w:divsChild>
            <w:div w:id="1794639468">
              <w:marLeft w:val="0"/>
              <w:marRight w:val="0"/>
              <w:marTop w:val="0"/>
              <w:marBottom w:val="0"/>
              <w:divBdr>
                <w:top w:val="none" w:sz="0" w:space="0" w:color="auto"/>
                <w:left w:val="none" w:sz="0" w:space="0" w:color="auto"/>
                <w:bottom w:val="none" w:sz="0" w:space="0" w:color="auto"/>
                <w:right w:val="none" w:sz="0" w:space="0" w:color="auto"/>
              </w:divBdr>
              <w:divsChild>
                <w:div w:id="564223028">
                  <w:marLeft w:val="0"/>
                  <w:marRight w:val="0"/>
                  <w:marTop w:val="0"/>
                  <w:marBottom w:val="0"/>
                  <w:divBdr>
                    <w:top w:val="none" w:sz="0" w:space="0" w:color="auto"/>
                    <w:left w:val="none" w:sz="0" w:space="0" w:color="auto"/>
                    <w:bottom w:val="none" w:sz="0" w:space="0" w:color="auto"/>
                    <w:right w:val="none" w:sz="0" w:space="0" w:color="auto"/>
                  </w:divBdr>
                  <w:divsChild>
                    <w:div w:id="264920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2388946">
      <w:bodyDiv w:val="1"/>
      <w:marLeft w:val="0"/>
      <w:marRight w:val="0"/>
      <w:marTop w:val="0"/>
      <w:marBottom w:val="0"/>
      <w:divBdr>
        <w:top w:val="none" w:sz="0" w:space="0" w:color="auto"/>
        <w:left w:val="none" w:sz="0" w:space="0" w:color="auto"/>
        <w:bottom w:val="none" w:sz="0" w:space="0" w:color="auto"/>
        <w:right w:val="none" w:sz="0" w:space="0" w:color="auto"/>
      </w:divBdr>
      <w:divsChild>
        <w:div w:id="50931122">
          <w:marLeft w:val="0"/>
          <w:marRight w:val="0"/>
          <w:marTop w:val="0"/>
          <w:marBottom w:val="0"/>
          <w:divBdr>
            <w:top w:val="none" w:sz="0" w:space="0" w:color="auto"/>
            <w:left w:val="none" w:sz="0" w:space="0" w:color="auto"/>
            <w:bottom w:val="none" w:sz="0" w:space="0" w:color="auto"/>
            <w:right w:val="none" w:sz="0" w:space="0" w:color="auto"/>
          </w:divBdr>
          <w:divsChild>
            <w:div w:id="284433937">
              <w:marLeft w:val="0"/>
              <w:marRight w:val="0"/>
              <w:marTop w:val="0"/>
              <w:marBottom w:val="0"/>
              <w:divBdr>
                <w:top w:val="none" w:sz="0" w:space="0" w:color="auto"/>
                <w:left w:val="none" w:sz="0" w:space="0" w:color="auto"/>
                <w:bottom w:val="none" w:sz="0" w:space="0" w:color="auto"/>
                <w:right w:val="none" w:sz="0" w:space="0" w:color="auto"/>
              </w:divBdr>
              <w:divsChild>
                <w:div w:id="327563905">
                  <w:marLeft w:val="0"/>
                  <w:marRight w:val="0"/>
                  <w:marTop w:val="0"/>
                  <w:marBottom w:val="0"/>
                  <w:divBdr>
                    <w:top w:val="none" w:sz="0" w:space="0" w:color="auto"/>
                    <w:left w:val="none" w:sz="0" w:space="0" w:color="auto"/>
                    <w:bottom w:val="none" w:sz="0" w:space="0" w:color="auto"/>
                    <w:right w:val="none" w:sz="0" w:space="0" w:color="auto"/>
                  </w:divBdr>
                  <w:divsChild>
                    <w:div w:id="210896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661909">
      <w:bodyDiv w:val="1"/>
      <w:marLeft w:val="0"/>
      <w:marRight w:val="0"/>
      <w:marTop w:val="0"/>
      <w:marBottom w:val="0"/>
      <w:divBdr>
        <w:top w:val="none" w:sz="0" w:space="0" w:color="auto"/>
        <w:left w:val="none" w:sz="0" w:space="0" w:color="auto"/>
        <w:bottom w:val="none" w:sz="0" w:space="0" w:color="auto"/>
        <w:right w:val="none" w:sz="0" w:space="0" w:color="auto"/>
      </w:divBdr>
      <w:divsChild>
        <w:div w:id="420418413">
          <w:marLeft w:val="0"/>
          <w:marRight w:val="0"/>
          <w:marTop w:val="0"/>
          <w:marBottom w:val="0"/>
          <w:divBdr>
            <w:top w:val="none" w:sz="0" w:space="0" w:color="auto"/>
            <w:left w:val="none" w:sz="0" w:space="0" w:color="auto"/>
            <w:bottom w:val="none" w:sz="0" w:space="0" w:color="auto"/>
            <w:right w:val="none" w:sz="0" w:space="0" w:color="auto"/>
          </w:divBdr>
          <w:divsChild>
            <w:div w:id="882788491">
              <w:marLeft w:val="0"/>
              <w:marRight w:val="0"/>
              <w:marTop w:val="0"/>
              <w:marBottom w:val="0"/>
              <w:divBdr>
                <w:top w:val="none" w:sz="0" w:space="0" w:color="auto"/>
                <w:left w:val="none" w:sz="0" w:space="0" w:color="auto"/>
                <w:bottom w:val="none" w:sz="0" w:space="0" w:color="auto"/>
                <w:right w:val="none" w:sz="0" w:space="0" w:color="auto"/>
              </w:divBdr>
              <w:divsChild>
                <w:div w:id="1501462004">
                  <w:marLeft w:val="0"/>
                  <w:marRight w:val="0"/>
                  <w:marTop w:val="0"/>
                  <w:marBottom w:val="0"/>
                  <w:divBdr>
                    <w:top w:val="none" w:sz="0" w:space="0" w:color="auto"/>
                    <w:left w:val="none" w:sz="0" w:space="0" w:color="auto"/>
                    <w:bottom w:val="none" w:sz="0" w:space="0" w:color="auto"/>
                    <w:right w:val="none" w:sz="0" w:space="0" w:color="auto"/>
                  </w:divBdr>
                  <w:divsChild>
                    <w:div w:id="211401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1973703">
      <w:bodyDiv w:val="1"/>
      <w:marLeft w:val="0"/>
      <w:marRight w:val="0"/>
      <w:marTop w:val="0"/>
      <w:marBottom w:val="0"/>
      <w:divBdr>
        <w:top w:val="none" w:sz="0" w:space="0" w:color="auto"/>
        <w:left w:val="none" w:sz="0" w:space="0" w:color="auto"/>
        <w:bottom w:val="none" w:sz="0" w:space="0" w:color="auto"/>
        <w:right w:val="none" w:sz="0" w:space="0" w:color="auto"/>
      </w:divBdr>
      <w:divsChild>
        <w:div w:id="1209104101">
          <w:marLeft w:val="0"/>
          <w:marRight w:val="0"/>
          <w:marTop w:val="0"/>
          <w:marBottom w:val="0"/>
          <w:divBdr>
            <w:top w:val="none" w:sz="0" w:space="0" w:color="auto"/>
            <w:left w:val="none" w:sz="0" w:space="0" w:color="auto"/>
            <w:bottom w:val="none" w:sz="0" w:space="0" w:color="auto"/>
            <w:right w:val="none" w:sz="0" w:space="0" w:color="auto"/>
          </w:divBdr>
          <w:divsChild>
            <w:div w:id="1864784190">
              <w:marLeft w:val="0"/>
              <w:marRight w:val="0"/>
              <w:marTop w:val="0"/>
              <w:marBottom w:val="0"/>
              <w:divBdr>
                <w:top w:val="none" w:sz="0" w:space="0" w:color="auto"/>
                <w:left w:val="none" w:sz="0" w:space="0" w:color="auto"/>
                <w:bottom w:val="none" w:sz="0" w:space="0" w:color="auto"/>
                <w:right w:val="none" w:sz="0" w:space="0" w:color="auto"/>
              </w:divBdr>
              <w:divsChild>
                <w:div w:id="1865168976">
                  <w:marLeft w:val="0"/>
                  <w:marRight w:val="0"/>
                  <w:marTop w:val="0"/>
                  <w:marBottom w:val="0"/>
                  <w:divBdr>
                    <w:top w:val="none" w:sz="0" w:space="0" w:color="auto"/>
                    <w:left w:val="none" w:sz="0" w:space="0" w:color="auto"/>
                    <w:bottom w:val="none" w:sz="0" w:space="0" w:color="auto"/>
                    <w:right w:val="none" w:sz="0" w:space="0" w:color="auto"/>
                  </w:divBdr>
                  <w:divsChild>
                    <w:div w:id="164504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4871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arlosheitorcampani.com"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00318B-902E-EA45-A367-C831F64E15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1213</Words>
  <Characters>6917</Characters>
  <Application>Microsoft Office Word</Application>
  <DocSecurity>0</DocSecurity>
  <Lines>57</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Heitor Campani</dc:creator>
  <cp:keywords/>
  <dc:description/>
  <cp:lastModifiedBy>Carlos Heitor Campani</cp:lastModifiedBy>
  <cp:revision>2</cp:revision>
  <dcterms:created xsi:type="dcterms:W3CDTF">2023-03-27T20:26:00Z</dcterms:created>
  <dcterms:modified xsi:type="dcterms:W3CDTF">2023-03-27T20:26:00Z</dcterms:modified>
</cp:coreProperties>
</file>